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F2" w:rsidRDefault="009341F2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6.0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C864B4" w:rsidRDefault="00C864B4" w:rsidP="00202828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266F85C" wp14:editId="3352B03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C864B4" w:rsidRPr="009153B1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ОБЛАСТНАТА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C864B4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64B4" w:rsidRDefault="00C864B4" w:rsidP="00C864B4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C864B4" w:rsidTr="00202828"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ОБЛАСТ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C864B4" w:rsidTr="00202828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5B7981" w:rsidRPr="00C864B4" w:rsidRDefault="00257061" w:rsidP="00A15330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>УКАЗАНИЯ ЗА ПОПЪЛВАНЕ</w:t>
      </w:r>
      <w:r w:rsidR="00EF6C12"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: </w:t>
      </w:r>
    </w:p>
    <w:p w:rsidR="005B798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областно ниво се разработва на годишна база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отразява състоянието на БДП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изпълнението на областната политика по БДП към съответната отчетна година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shd w:val="clear" w:color="auto" w:fill="FFFFFF" w:themeFill="background1"/>
        <w:spacing w:after="0" w:line="240" w:lineRule="auto"/>
        <w:ind w:left="349" w:right="-34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отделните раздели от Доклада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подготвя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ОКБДП, като се систематизира информацията, подадена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членове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ОКБДП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 образци на ДАБДП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приложения 6.1 – за общините, 6.2 – за ОДМВР, 6.3 – за ОПУ, 6.4 – за РУО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6.5 – за ЦСМП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6.6. – за РЗИ, 6.7 – за БЧК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6.8 – за ООАА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към обобщения план за действие 2021-2023 г.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Членовете на ОКБДП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представя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от своите компетенции по т. 2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5ти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5B798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екретариатът на ОКБДП своевременно организира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разяснява, подпомага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координира получаването на информация</w:t>
      </w:r>
      <w:r w:rsidR="008F43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членовете на ОКБДП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т. 2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следи за нейната коректност, яснота и изчерпателност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BA5235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Всички раздели 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="00435C6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оклада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 да се попълнят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</w:t>
      </w:r>
      <w:r w:rsidR="00BF304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база на получената по т. 2 информация. И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във всеки раздел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следва да е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коректна,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ясна и изчерпателна.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lastRenderedPageBreak/>
        <w:t>На местата в Доклада, к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ъдето се изисква информация за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бщините, същата следва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да е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представи за всяка една от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 на територията на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Това е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изискуемо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 оглед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получаване на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за състоянието на БДП по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E27D2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Обща информация и Раздел </w:t>
      </w:r>
      <w:r w:rsidR="00E27D2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Административна информация се попълват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 информация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налична в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секретариата на ОКБДП.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E27D2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3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Състояние на БДП: Информацията по т. 1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.1</w:t>
      </w:r>
      <w:r w:rsidR="007F48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1.2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ОДМВР и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секретариата на ОКБДП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;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1.3 и 1.2 се подава от ЦСМП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2.1 се подава от ОПУ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</w:t>
      </w:r>
      <w:r w:rsidR="0016493E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бщините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783454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E27D2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4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Годишно изпълнение на План-програмата: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база получената от членовете информация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екретариатът на ОКБДП систематизира попълването на цялата таблица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попълва информацията, отнасяща се до общата оценка на изпълнението.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E214A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E27D2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</w:t>
      </w:r>
      <w:bookmarkStart w:id="0" w:name="_GoBack"/>
      <w:bookmarkEnd w:id="0"/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Срещани проблеми и препоръки към ДАБДП се попълва от секретариата на ОКБДП на база наблюдения или предложения от членове на ОКБДП. 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4326F" w:rsidRDefault="009D1CE2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След като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 се състав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цялостен вид от секретариата на ОКБДП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докладът 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разглежда се и се приема като проект на заседание на ОКБДП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след което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изпраща в ДАБДП в срок до </w:t>
      </w:r>
      <w:r w:rsidR="00C2541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 ви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март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следваща отчетната година.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Доклади, представени след този срок,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няма да бъдат разгледани и анализирани за целите на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общото докладване от ДАБДП към Министерски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съвет,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като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общия доклад до Министерския съвет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ще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бъде отбелязано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липса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съответния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областен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доклад. </w:t>
      </w:r>
    </w:p>
    <w:p w:rsidR="00084418" w:rsidRPr="0054326F" w:rsidRDefault="00084418" w:rsidP="0054326F">
      <w:pPr>
        <w:shd w:val="clear" w:color="auto" w:fill="FFFFFF" w:themeFill="background1"/>
        <w:spacing w:after="0" w:line="240" w:lineRule="auto"/>
        <w:ind w:left="349" w:right="-35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084418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изпраща от ОКБДП до ДАБДП само по електронен път на електронен адрес </w:t>
      </w:r>
      <w:hyperlink r:id="rId9" w:history="1">
        <w:r w:rsidR="00084418" w:rsidRPr="00C864B4">
          <w:rPr>
            <w:rStyle w:val="Hyperlink"/>
            <w:rFonts w:ascii="Verdana" w:hAnsi="Verdana"/>
            <w:i/>
            <w:color w:val="404040" w:themeColor="text1" w:themeTint="BF"/>
            <w:sz w:val="20"/>
            <w:szCs w:val="20"/>
          </w:rPr>
          <w:t>mpetrova@sars.gov.bg</w:t>
        </w:r>
      </w:hyperlink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във формат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Word,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заедно с официално подписано и заведено с деловоден номер придружително писмо.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преглежда от ДАБДП за съответствие с изискуемите форма и съдържание. При необходимост от ревизия на Доклада, ДАБДП дава съответните указания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които ОКБДП следва да отрази в ревизиран доклад </w:t>
      </w:r>
      <w:r w:rsidR="000052A7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да го представи в ДАБДП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 срок от 5 работни дни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Pr="00C864B4" w:rsidRDefault="005B798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ът, в съответстващ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одобрен от ДАБДП 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вид,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помества на интернет страницата на ОКБДП. </w:t>
      </w:r>
    </w:p>
    <w:p w:rsidR="00FB1794" w:rsidRDefault="00FB1794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D60DF" w:rsidRPr="00202828" w:rsidRDefault="003D60DF" w:rsidP="00202828">
      <w:pPr>
        <w:shd w:val="clear" w:color="auto" w:fill="FFFFFF" w:themeFill="background1"/>
        <w:ind w:right="-602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957"/>
        <w:gridCol w:w="8651"/>
      </w:tblGrid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Област: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ab/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Общини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 места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Население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Състав на ОКБДП: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D60DF" w:rsidRDefault="003D60DF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5A7F1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5A7F19">
        <w:rPr>
          <w:rFonts w:ascii="Verdana" w:hAnsi="Verdana"/>
          <w:b/>
          <w:color w:val="FFFFFF" w:themeColor="background1"/>
          <w:sz w:val="32"/>
        </w:rPr>
        <w:t>2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АДМИНИСТРАТИВНА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Pr="005B7981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202828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0C4555" w:rsidRPr="00202828" w:rsidRDefault="00202828" w:rsidP="00202828">
      <w:pPr>
        <w:shd w:val="clear" w:color="auto" w:fill="FFFFFF" w:themeFill="background1"/>
        <w:spacing w:after="80" w:line="240" w:lineRule="auto"/>
        <w:ind w:left="73"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 </w:t>
      </w:r>
      <w:r w:rsidR="000C4555"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>ПРОВЕДЕНИ ЗАСЕДАНИЯ НА ОКБДП</w:t>
      </w:r>
    </w:p>
    <w:p w:rsidR="00202828" w:rsidRP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2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Заседание 3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4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sz w:val="20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8"/>
          <w:szCs w:val="8"/>
          <w:lang w:val="bg-BG"/>
        </w:rPr>
      </w:pPr>
    </w:p>
    <w:p w:rsidR="000C4555" w:rsidRPr="003D60DF" w:rsidRDefault="003D60DF" w:rsidP="003D60DF">
      <w:pPr>
        <w:shd w:val="clear" w:color="auto" w:fill="FFFFFF" w:themeFill="background1"/>
        <w:spacing w:after="80" w:line="240" w:lineRule="auto"/>
        <w:ind w:left="-142" w:firstLine="142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ИЗПЪЛНЕН</w:t>
      </w:r>
      <w:r w:rsidR="00FB1794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ИЕ НА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УКАЗАНИЯ НА ДАБДП</w:t>
      </w:r>
      <w:r w:rsidR="00CF08F8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ДО ОКБДП</w:t>
      </w:r>
    </w:p>
    <w:p w:rsid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1: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2: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3: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Указание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No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3D60DF" w:rsidRPr="000C4555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EE0C5E" w:rsidRDefault="00EE0C5E" w:rsidP="000C4555">
      <w:pPr>
        <w:shd w:val="clear" w:color="auto" w:fill="FFFFFF" w:themeFill="background1"/>
        <w:rPr>
          <w:rFonts w:ascii="Verdana" w:hAnsi="Verdana"/>
          <w:b/>
          <w:sz w:val="20"/>
          <w:lang w:val="bg-BG"/>
        </w:rPr>
      </w:pPr>
    </w:p>
    <w:p w:rsidR="005A7F19" w:rsidRDefault="005A7F19" w:rsidP="000C4555">
      <w:pPr>
        <w:shd w:val="clear" w:color="auto" w:fill="FFFFFF" w:themeFill="background1"/>
        <w:rPr>
          <w:rFonts w:ascii="Verdana" w:hAnsi="Verdana"/>
          <w:b/>
          <w:sz w:val="20"/>
          <w:lang w:val="bg-BG"/>
        </w:rPr>
      </w:pPr>
    </w:p>
    <w:p w:rsidR="005A7F19" w:rsidRPr="009153B1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A7F19" w:rsidRP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3</w:t>
      </w:r>
    </w:p>
    <w:p w:rsidR="005A7F19" w:rsidRPr="00E7536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СЪСТОЯНИЕ НА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D16AD2">
      <w:pPr>
        <w:rPr>
          <w:rFonts w:ascii="Verdana" w:hAnsi="Verdana"/>
          <w:b/>
          <w:sz w:val="8"/>
          <w:szCs w:val="8"/>
          <w:lang w:val="bg-BG"/>
        </w:rPr>
      </w:pPr>
    </w:p>
    <w:p w:rsidR="00D16AD2" w:rsidRPr="005A7F19" w:rsidRDefault="005A7F19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1.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ПЪТНОТРАНСПОРТЕН ТРАВМАТИЗЪМ</w:t>
      </w: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1.1 Статистика на ниво ОБЛАСТ </w:t>
      </w:r>
    </w:p>
    <w:p w:rsidR="00D16AD2" w:rsidRDefault="00D16AD2" w:rsidP="00165DDB">
      <w:pPr>
        <w:ind w:left="426" w:right="182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>
        <w:rPr>
          <w:rFonts w:ascii="Verdana" w:hAnsi="Verdana"/>
          <w:i/>
          <w:sz w:val="20"/>
          <w:lang w:val="bg-BG"/>
        </w:rPr>
        <w:t>по</w:t>
      </w:r>
      <w:r w:rsidR="001D1F41">
        <w:rPr>
          <w:rFonts w:ascii="Verdana" w:hAnsi="Verdana"/>
          <w:i/>
          <w:sz w:val="20"/>
          <w:lang w:val="bg-BG"/>
        </w:rPr>
        <w:t xml:space="preserve">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 w:rsidR="001D1F41">
        <w:rPr>
          <w:rFonts w:ascii="Verdana" w:hAnsi="Verdana"/>
          <w:i/>
          <w:sz w:val="20"/>
          <w:lang w:val="bg-BG"/>
        </w:rPr>
        <w:t>по</w:t>
      </w:r>
      <w:r>
        <w:rPr>
          <w:rFonts w:ascii="Verdana" w:hAnsi="Verdana"/>
          <w:i/>
          <w:sz w:val="20"/>
          <w:lang w:val="bg-BG"/>
        </w:rPr>
        <w:t xml:space="preserve">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DE2F70" w:rsidRPr="00DE2F70">
        <w:rPr>
          <w:rFonts w:ascii="Verdana" w:hAnsi="Verdana"/>
          <w:i/>
          <w:sz w:val="20"/>
          <w:lang w:val="bg-BG"/>
        </w:rPr>
        <w:t xml:space="preserve"> в образец 6.2</w:t>
      </w:r>
      <w:r w:rsidRPr="00DE2F70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7F4829" w:rsidRPr="005A7F19" w:rsidRDefault="007F4829" w:rsidP="00EE0C5E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по вид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03935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</w:t>
            </w:r>
            <w:r w:rsidR="004B6753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ъс загинали и тежко ранени</w:t>
            </w:r>
          </w:p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72C57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00159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Издадени писмени предупреждения, сигнални писма и разпореждания</w:t>
            </w:r>
            <w:r w:rsidR="00E00159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00159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72C57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Предприети дейности по отстраняване на несъответствията</w:t>
            </w:r>
            <w:r w:rsidR="00E72C57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72C57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7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lastRenderedPageBreak/>
        <w:t xml:space="preserve">  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1.2 Статистика на ниво ОБЩИНА </w:t>
      </w:r>
    </w:p>
    <w:p w:rsidR="00D16AD2" w:rsidRDefault="00D16AD2" w:rsidP="005A7F19">
      <w:pPr>
        <w:ind w:right="-35"/>
        <w:jc w:val="both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 w:rsidR="001D1F41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EE0C5E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в образец 6.2 </w:t>
      </w:r>
      <w:r w:rsidR="00EE0C5E">
        <w:rPr>
          <w:rFonts w:ascii="Verdana" w:hAnsi="Verdana"/>
          <w:i/>
          <w:sz w:val="20"/>
          <w:lang w:val="bg-BG"/>
        </w:rPr>
        <w:t xml:space="preserve">за </w:t>
      </w:r>
      <w:r w:rsidR="00EE0C5E" w:rsidRPr="00DE2F70">
        <w:rPr>
          <w:rFonts w:ascii="Verdana" w:hAnsi="Verdana"/>
          <w:b/>
          <w:i/>
          <w:sz w:val="20"/>
          <w:lang w:val="bg-BG"/>
        </w:rPr>
        <w:t>ВСЯКА</w:t>
      </w:r>
      <w:r w:rsidR="00EE0C5E">
        <w:rPr>
          <w:rFonts w:ascii="Verdana" w:hAnsi="Verdana"/>
          <w:i/>
          <w:sz w:val="20"/>
          <w:lang w:val="bg-BG"/>
        </w:rPr>
        <w:t xml:space="preserve"> от общините на територията на областта</w:t>
      </w:r>
      <w:r w:rsidRPr="00B10EF6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6D597F" w:rsidRPr="005A7F19" w:rsidRDefault="006D597F" w:rsidP="007A78C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Pr="00003935" w:rsidRDefault="006D597F" w:rsidP="007A78C0">
            <w:pPr>
              <w:rPr>
                <w:rFonts w:ascii="Verdana" w:hAnsi="Verdana"/>
                <w:sz w:val="20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възрастни  над 65 г.</w:t>
            </w:r>
          </w:p>
          <w:p w:rsidR="00FB1794" w:rsidRPr="005A7F19" w:rsidRDefault="00FB1794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E297B" w:rsidRDefault="00CE297B" w:rsidP="00CE297B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CE297B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</w:t>
      </w:r>
      <w:r w:rsidR="00CE297B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1.3 Пътнотранспортен травматизъм и дейност на ЦСМП </w:t>
      </w:r>
    </w:p>
    <w:p w:rsidR="00CE297B" w:rsidRPr="005A7F19" w:rsidRDefault="00CE297B" w:rsidP="00CE297B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за областта по данни, 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 от ЦСМП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6.5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 ……………………………………</w:t>
      </w:r>
    </w:p>
    <w:p w:rsidR="00CE297B" w:rsidRPr="005A7F19" w:rsidRDefault="00CE297B" w:rsidP="00CE297B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транспортирани до лечебни заведения пострадали и диагнози: …………………………………………</w:t>
      </w:r>
    </w:p>
    <w:p w:rsidR="00CE297B" w:rsidRPr="005A7F19" w:rsidRDefault="00CE297B" w:rsidP="00CE297B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време за реакция: …………………………………………..</w:t>
      </w:r>
    </w:p>
    <w:p w:rsidR="00CE297B" w:rsidRPr="00D16AD2" w:rsidRDefault="00CE297B" w:rsidP="00D16AD2">
      <w:pPr>
        <w:ind w:left="284" w:right="182"/>
        <w:rPr>
          <w:rFonts w:ascii="Verdana" w:hAnsi="Verdana"/>
          <w:sz w:val="20"/>
          <w:lang w:val="bg-BG"/>
        </w:rPr>
      </w:pPr>
    </w:p>
    <w:p w:rsidR="00B2228F" w:rsidRPr="005A7F19" w:rsidRDefault="00B2228F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2. СЪСТОЯНИЕ НА ПЪТНОТРАНСПОРТНАТА ИНФРАСТРУКТУРА</w:t>
      </w:r>
    </w:p>
    <w:p w:rsidR="00D07DF3" w:rsidRDefault="00B2228F" w:rsidP="00B2228F">
      <w:pPr>
        <w:spacing w:after="0" w:line="240" w:lineRule="auto"/>
        <w:ind w:right="181"/>
        <w:rPr>
          <w:rFonts w:ascii="Verdana" w:hAnsi="Verdana"/>
          <w:b/>
          <w:sz w:val="20"/>
          <w:lang w:val="bg-BG"/>
        </w:rPr>
      </w:pPr>
      <w:r w:rsidRPr="00B2228F">
        <w:rPr>
          <w:rFonts w:ascii="Verdana" w:hAnsi="Verdana"/>
          <w:b/>
          <w:sz w:val="20"/>
          <w:lang w:val="bg-BG"/>
        </w:rPr>
        <w:t xml:space="preserve">     </w:t>
      </w:r>
    </w:p>
    <w:p w:rsidR="00B2228F" w:rsidRPr="005A7F19" w:rsidRDefault="00B2228F" w:rsidP="007A78C0">
      <w:pPr>
        <w:spacing w:after="0" w:line="240" w:lineRule="auto"/>
        <w:ind w:left="284" w:right="181"/>
        <w:jc w:val="both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2.1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AA37F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За ОПУ: дължина и състояние на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републиканските пътища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в границите на областта по основните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им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елементи: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</w:t>
      </w:r>
    </w:p>
    <w:p w:rsidR="00B2228F" w:rsidRPr="005A7F19" w:rsidRDefault="00B2228F" w:rsidP="00B2228F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           </w:t>
      </w:r>
      <w:r w:rsidRPr="005A7F19">
        <w:rPr>
          <w:rFonts w:ascii="Verdana" w:hAnsi="Verdana"/>
          <w:i/>
          <w:color w:val="404040" w:themeColor="text1" w:themeTint="BF"/>
          <w:sz w:val="20"/>
        </w:rPr>
        <w:t xml:space="preserve"> ……………………………………………………………………………………………………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…………………………………………………………………….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по данни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 от ОПУ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6.3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B2228F" w:rsidRPr="005A7F19" w:rsidRDefault="00B2228F" w:rsidP="00B2228F">
      <w:pPr>
        <w:ind w:right="182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5A7F1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2.2    За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бщините:</w:t>
      </w:r>
      <w:r w:rsidR="00012E8A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</w:p>
    <w:p w:rsidR="009501FF" w:rsidRPr="005A7F19" w:rsidRDefault="009501FF" w:rsidP="00AA37F9">
      <w:pPr>
        <w:ind w:left="851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поотделно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за </w:t>
      </w:r>
      <w:r w:rsidR="00EE0C5E" w:rsidRPr="005A7F19">
        <w:rPr>
          <w:rFonts w:ascii="Verdana" w:hAnsi="Verdana"/>
          <w:b/>
          <w:i/>
          <w:color w:val="404040" w:themeColor="text1" w:themeTint="BF"/>
          <w:sz w:val="20"/>
          <w:lang w:val="bg-BG"/>
        </w:rPr>
        <w:t>ВСЯКА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бщините на територията на областта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съгласно данни,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подадени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о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бщините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6.1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9501F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501F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………………</w:t>
            </w:r>
            <w:r w:rsidR="00F444D5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……………..</w:t>
            </w:r>
          </w:p>
          <w:p w:rsidR="009501FF" w:rsidRPr="005A7F19" w:rsidRDefault="009501FF" w:rsidP="009501F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/посочете </w:t>
            </w:r>
            <w:r w:rsidR="007A78C0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бщината/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</w:tc>
        <w:tc>
          <w:tcPr>
            <w:tcW w:w="10800" w:type="dxa"/>
          </w:tcPr>
          <w:p w:rsidR="00D07DF3" w:rsidRPr="005A7F19" w:rsidRDefault="00392DB9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392DB9" w:rsidRPr="005A7F19" w:rsidRDefault="00392DB9" w:rsidP="00D95E16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 (единични пукнатини, мрежовидни пукнатини, слягания и др.)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улиците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(единични/мрежовидни пукнатини, слягания и др.)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Сигнализация и маркировка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D95E16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D95E16" w:rsidRPr="005A7F19" w:rsidRDefault="00D95E16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Банкети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1788F" w:rsidRPr="005A7F19" w:rsidRDefault="0091788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444D5" w:rsidRPr="005A7F19" w:rsidRDefault="00F444D5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Процентен дял 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липсващи банкети</w:t>
            </w:r>
            <w:r w:rsidR="009501FF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Ограничителни системи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proofErr w:type="spellStart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  <w:proofErr w:type="spellEnd"/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1D1F41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9501FF" w:rsidRPr="005A7F19" w:rsidRDefault="001D1F41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Автогари, </w:t>
            </w:r>
            <w:proofErr w:type="spellStart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ж.п</w:t>
            </w:r>
            <w:proofErr w:type="spellEnd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. гари и прилежащата към тях инфраструктура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техническо състояние)  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DF643C" w:rsidRDefault="00DF643C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4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ОБЛАСТНАТА ПЛАНА-ПРОГРАМА ПО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28A9" w:rsidRPr="009501FF" w:rsidRDefault="00C828A9" w:rsidP="001C347D">
      <w:pPr>
        <w:ind w:right="-602"/>
        <w:jc w:val="both"/>
        <w:rPr>
          <w:rFonts w:ascii="Verdana" w:hAnsi="Verdana"/>
          <w:i/>
          <w:sz w:val="20"/>
          <w:lang w:val="bg-BG"/>
        </w:rPr>
      </w:pPr>
      <w:r w:rsidRPr="009501FF">
        <w:rPr>
          <w:rFonts w:ascii="Verdana" w:hAnsi="Verdana"/>
          <w:i/>
          <w:sz w:val="20"/>
          <w:lang w:val="bg-BG"/>
        </w:rPr>
        <w:t>/</w:t>
      </w:r>
      <w:r w:rsidR="006D1AF5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 w:rsidRPr="00B10EF6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на местата, маркирани в жълт цвят, </w:t>
      </w:r>
      <w:r w:rsidR="000558C8">
        <w:rPr>
          <w:rFonts w:ascii="Verdana" w:hAnsi="Verdana"/>
          <w:i/>
          <w:sz w:val="20"/>
          <w:lang w:val="bg-BG"/>
        </w:rPr>
        <w:t>съгласно подадената от членовете на ОКБДП информаци</w:t>
      </w:r>
      <w:r w:rsidR="00DE2F70">
        <w:rPr>
          <w:rFonts w:ascii="Verdana" w:hAnsi="Verdana"/>
          <w:i/>
          <w:sz w:val="20"/>
          <w:lang w:val="bg-BG"/>
        </w:rPr>
        <w:t>я</w:t>
      </w:r>
      <w:r w:rsidRPr="009501FF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521"/>
      </w:tblGrid>
      <w:tr w:rsidR="006D1AF5" w:rsidRPr="009A0221" w:rsidTr="00D61E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D1AF5" w:rsidRPr="00D61EE0" w:rsidRDefault="006D1AF5" w:rsidP="006D1AF5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940E1C" w:rsidRPr="006D1AF5" w:rsidTr="000E0A7D">
        <w:trPr>
          <w:trHeight w:val="2198"/>
        </w:trPr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940E1C" w:rsidRPr="006D1AF5" w:rsidRDefault="00940E1C" w:rsidP="00940E1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r w:rsidRPr="00940E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годишна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областна администрация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31 декември на годината, предхождаща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плановата година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1.4 Изпълнение на областна годишна План-програма за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Провеждане на минимум 4 редовни заседания на ОКБДП и изпълнение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82DA0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ОКБДП,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Pr="006D1AF5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1.8 Докладване на изпълнени мерки по БДП на тримесечна база на мин. 4 редовни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На тримесечие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 февруари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="00B9054A"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1.14 Провеждане на обществени консултации по важни теми в областта на БДП, насочени към установяване и отчитане на становищата на заинтересованите страни от гражданското общество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1D1C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="001D1C8E"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E82DA0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E82DA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2.6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Отбелязване на Европейската седмица на мобилността,  Международния ден за безопасност на движението по пътищата,  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6D1AF5" w:rsidRPr="006D1AF5" w:rsidRDefault="006D1AF5" w:rsidP="006D1AF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ЕФЕКТИВЕН И ПРЕВАНТИВЕН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4.4. Предоставяне на данни от Общината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4.8 Изпълнение на насоките на Европейската комисия за разработване и прилагане на планове за устойчива градска мобилност с приоритет в областните градове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CA5E4E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4.9 Прилагане на процедури за управление на пътната безопасност в границите на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4.10 Изпълнение/актуализация на генерални планове за организация на движението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687EDD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/моля попълнете конкретните планирани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4.24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4.25 Анализ на конкретни участъци с несъответстваща/повредена 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4.26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4.29 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4.31 Извеждане на транзитните потоци извън населените места за успокояване на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 съгласно предвижданията на областната план-програма/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4675C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4.33 Подкрепа за алтернативни форми на придвижване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4.34 Развитие на обществения транспорт 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съгласно предвижданията на областната план-програма</w:t>
            </w: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8F289C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Pr="008F289C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55650A" w:rsidRPr="006D1AF5" w:rsidRDefault="0055650A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5650A" w:rsidRPr="006D1AF5" w:rsidRDefault="0055650A" w:rsidP="00E82DA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="00E82DA0"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55650A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4675C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4.39 Възстановяване на пътната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4.40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Въвеждане на системи за дистанционно регулиране на трафика с оглед достъп на </w:t>
            </w: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екипите на ЦСМП до мястото на настъпил инцидент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5: ПРЕВОЗН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6D1AF5" w:rsidRPr="000E0A7D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5.3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6D1A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5650A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4675CA" w:rsidRPr="006D1AF5" w:rsidRDefault="004675C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5650A" w:rsidRPr="006D1AF5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</w:tbl>
    <w:p w:rsidR="006D1AF5" w:rsidRDefault="006D1AF5" w:rsidP="000C4555">
      <w:pPr>
        <w:rPr>
          <w:rFonts w:ascii="Verdana" w:hAnsi="Verdana"/>
          <w:sz w:val="8"/>
          <w:szCs w:val="8"/>
          <w:lang w:val="bg-BG"/>
        </w:rPr>
      </w:pPr>
    </w:p>
    <w:p w:rsidR="000C4555" w:rsidRDefault="000C4555" w:rsidP="000C4555">
      <w:pPr>
        <w:rPr>
          <w:rFonts w:ascii="Verdana" w:hAnsi="Verdana"/>
          <w:b/>
          <w:sz w:val="20"/>
          <w:lang w:val="bg-BG"/>
        </w:rPr>
      </w:pPr>
      <w:r w:rsidRPr="00762F5A">
        <w:rPr>
          <w:rFonts w:ascii="Verdana" w:hAnsi="Verdana"/>
          <w:b/>
          <w:sz w:val="20"/>
          <w:lang w:val="bg-BG"/>
        </w:rPr>
        <w:lastRenderedPageBreak/>
        <w:t>Обща оценка на изпълнението</w:t>
      </w:r>
      <w:r w:rsidR="00EF6C12" w:rsidRPr="00762F5A">
        <w:rPr>
          <w:rFonts w:ascii="Verdana" w:hAnsi="Verdana"/>
          <w:b/>
          <w:sz w:val="20"/>
          <w:lang w:val="bg-BG"/>
        </w:rPr>
        <w:t xml:space="preserve"> на </w:t>
      </w:r>
      <w:r w:rsidR="004675CA">
        <w:rPr>
          <w:rFonts w:ascii="Verdana" w:hAnsi="Verdana"/>
          <w:b/>
          <w:sz w:val="20"/>
          <w:lang w:val="bg-BG"/>
        </w:rPr>
        <w:t xml:space="preserve">областната </w:t>
      </w:r>
      <w:r w:rsidR="00EF6C12" w:rsidRPr="00762F5A">
        <w:rPr>
          <w:rFonts w:ascii="Verdana" w:hAnsi="Verdana"/>
          <w:b/>
          <w:sz w:val="20"/>
          <w:lang w:val="bg-BG"/>
        </w:rPr>
        <w:t>План-програма</w:t>
      </w:r>
      <w:r w:rsidRPr="00762F5A">
        <w:rPr>
          <w:rFonts w:ascii="Verdana" w:hAnsi="Verdana"/>
          <w:b/>
          <w:sz w:val="20"/>
          <w:lang w:val="bg-BG"/>
        </w:rPr>
        <w:t>:</w:t>
      </w:r>
    </w:p>
    <w:p w:rsidR="00DE2F70" w:rsidRPr="00DE2F70" w:rsidRDefault="00DE2F70" w:rsidP="000C4555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5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СРЕЩАНИ ПРОБЛЕМИ И ПРЕПОРЪКИ КЪМ ДАБДП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E2F70">
      <w:pPr>
        <w:rPr>
          <w:rFonts w:ascii="Verdana" w:hAnsi="Verdana"/>
          <w:i/>
          <w:sz w:val="20"/>
          <w:lang w:val="bg-BG"/>
        </w:rPr>
      </w:pPr>
    </w:p>
    <w:p w:rsidR="00DE2F70" w:rsidRPr="00DE2F70" w:rsidRDefault="00DE2F70" w:rsidP="00DE2F70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sectPr w:rsidR="000C4555" w:rsidRPr="000C4555" w:rsidSect="00E214A1">
      <w:footerReference w:type="default" r:id="rId10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28" w:rsidRDefault="00202828" w:rsidP="00EF6C12">
      <w:pPr>
        <w:spacing w:after="0" w:line="240" w:lineRule="auto"/>
      </w:pPr>
      <w:r>
        <w:separator/>
      </w:r>
    </w:p>
  </w:endnote>
  <w:endnote w:type="continuationSeparator" w:id="0">
    <w:p w:rsidR="00202828" w:rsidRDefault="0020282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828" w:rsidRDefault="0020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2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02828" w:rsidRDefault="0020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28" w:rsidRDefault="00202828" w:rsidP="00EF6C12">
      <w:pPr>
        <w:spacing w:after="0" w:line="240" w:lineRule="auto"/>
      </w:pPr>
      <w:r>
        <w:separator/>
      </w:r>
    </w:p>
  </w:footnote>
  <w:footnote w:type="continuationSeparator" w:id="0">
    <w:p w:rsidR="00202828" w:rsidRDefault="0020282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F6"/>
    <w:multiLevelType w:val="hybridMultilevel"/>
    <w:tmpl w:val="0C78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9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2D230D"/>
    <w:multiLevelType w:val="hybridMultilevel"/>
    <w:tmpl w:val="A776F46E"/>
    <w:lvl w:ilvl="0" w:tplc="0402000F">
      <w:start w:val="1"/>
      <w:numFmt w:val="decimal"/>
      <w:lvlText w:val="%1."/>
      <w:lvlJc w:val="left"/>
      <w:pPr>
        <w:ind w:left="793" w:hanging="360"/>
      </w:pPr>
    </w:lvl>
    <w:lvl w:ilvl="1" w:tplc="04020019" w:tentative="1">
      <w:start w:val="1"/>
      <w:numFmt w:val="lowerLetter"/>
      <w:lvlText w:val="%2."/>
      <w:lvlJc w:val="left"/>
      <w:pPr>
        <w:ind w:left="1513" w:hanging="360"/>
      </w:pPr>
    </w:lvl>
    <w:lvl w:ilvl="2" w:tplc="0402001B" w:tentative="1">
      <w:start w:val="1"/>
      <w:numFmt w:val="lowerRoman"/>
      <w:lvlText w:val="%3."/>
      <w:lvlJc w:val="right"/>
      <w:pPr>
        <w:ind w:left="2233" w:hanging="180"/>
      </w:pPr>
    </w:lvl>
    <w:lvl w:ilvl="3" w:tplc="0402000F" w:tentative="1">
      <w:start w:val="1"/>
      <w:numFmt w:val="decimal"/>
      <w:lvlText w:val="%4."/>
      <w:lvlJc w:val="left"/>
      <w:pPr>
        <w:ind w:left="2953" w:hanging="360"/>
      </w:pPr>
    </w:lvl>
    <w:lvl w:ilvl="4" w:tplc="04020019" w:tentative="1">
      <w:start w:val="1"/>
      <w:numFmt w:val="lowerLetter"/>
      <w:lvlText w:val="%5."/>
      <w:lvlJc w:val="left"/>
      <w:pPr>
        <w:ind w:left="3673" w:hanging="360"/>
      </w:pPr>
    </w:lvl>
    <w:lvl w:ilvl="5" w:tplc="0402001B" w:tentative="1">
      <w:start w:val="1"/>
      <w:numFmt w:val="lowerRoman"/>
      <w:lvlText w:val="%6."/>
      <w:lvlJc w:val="right"/>
      <w:pPr>
        <w:ind w:left="4393" w:hanging="180"/>
      </w:pPr>
    </w:lvl>
    <w:lvl w:ilvl="6" w:tplc="0402000F" w:tentative="1">
      <w:start w:val="1"/>
      <w:numFmt w:val="decimal"/>
      <w:lvlText w:val="%7."/>
      <w:lvlJc w:val="left"/>
      <w:pPr>
        <w:ind w:left="5113" w:hanging="360"/>
      </w:pPr>
    </w:lvl>
    <w:lvl w:ilvl="7" w:tplc="04020019" w:tentative="1">
      <w:start w:val="1"/>
      <w:numFmt w:val="lowerLetter"/>
      <w:lvlText w:val="%8."/>
      <w:lvlJc w:val="left"/>
      <w:pPr>
        <w:ind w:left="5833" w:hanging="360"/>
      </w:pPr>
    </w:lvl>
    <w:lvl w:ilvl="8" w:tplc="040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 w15:restartNumberingAfterBreak="0">
    <w:nsid w:val="3B463D0D"/>
    <w:multiLevelType w:val="hybridMultilevel"/>
    <w:tmpl w:val="25A0C89C"/>
    <w:lvl w:ilvl="0" w:tplc="B9F8039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1F6B26"/>
    <w:multiLevelType w:val="hybridMultilevel"/>
    <w:tmpl w:val="FD58CBC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1748"/>
    <w:multiLevelType w:val="hybridMultilevel"/>
    <w:tmpl w:val="73C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23"/>
  </w:num>
  <w:num w:numId="12">
    <w:abstractNumId w:val="18"/>
  </w:num>
  <w:num w:numId="13">
    <w:abstractNumId w:val="1"/>
  </w:num>
  <w:num w:numId="14">
    <w:abstractNumId w:val="20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22"/>
  </w:num>
  <w:num w:numId="25">
    <w:abstractNumId w:val="19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0588"/>
    <w:rsid w:val="00003935"/>
    <w:rsid w:val="000052A7"/>
    <w:rsid w:val="00012E8A"/>
    <w:rsid w:val="00041EC7"/>
    <w:rsid w:val="000558C8"/>
    <w:rsid w:val="00083BB5"/>
    <w:rsid w:val="00084418"/>
    <w:rsid w:val="000A0F78"/>
    <w:rsid w:val="000B31E7"/>
    <w:rsid w:val="000B66E2"/>
    <w:rsid w:val="000C4555"/>
    <w:rsid w:val="000C6D58"/>
    <w:rsid w:val="000C755D"/>
    <w:rsid w:val="000D5C27"/>
    <w:rsid w:val="000E0A7D"/>
    <w:rsid w:val="00104756"/>
    <w:rsid w:val="001127EC"/>
    <w:rsid w:val="00113E1A"/>
    <w:rsid w:val="00123748"/>
    <w:rsid w:val="001308A2"/>
    <w:rsid w:val="00154E75"/>
    <w:rsid w:val="0016493E"/>
    <w:rsid w:val="00165DDB"/>
    <w:rsid w:val="00182544"/>
    <w:rsid w:val="00196093"/>
    <w:rsid w:val="001C347D"/>
    <w:rsid w:val="001C3984"/>
    <w:rsid w:val="001D1C8E"/>
    <w:rsid w:val="001D1F41"/>
    <w:rsid w:val="001F7DC1"/>
    <w:rsid w:val="00200368"/>
    <w:rsid w:val="002024FC"/>
    <w:rsid w:val="00202828"/>
    <w:rsid w:val="00210A8C"/>
    <w:rsid w:val="00223444"/>
    <w:rsid w:val="0023275B"/>
    <w:rsid w:val="00257061"/>
    <w:rsid w:val="002603C2"/>
    <w:rsid w:val="0026091C"/>
    <w:rsid w:val="002663D5"/>
    <w:rsid w:val="00290520"/>
    <w:rsid w:val="002A3A06"/>
    <w:rsid w:val="002C39B7"/>
    <w:rsid w:val="002C4F03"/>
    <w:rsid w:val="002C5093"/>
    <w:rsid w:val="002D6266"/>
    <w:rsid w:val="002E1E00"/>
    <w:rsid w:val="00333186"/>
    <w:rsid w:val="00337D33"/>
    <w:rsid w:val="003400A6"/>
    <w:rsid w:val="00352558"/>
    <w:rsid w:val="003706AF"/>
    <w:rsid w:val="003744C5"/>
    <w:rsid w:val="00392DB9"/>
    <w:rsid w:val="003B6FB4"/>
    <w:rsid w:val="003C7097"/>
    <w:rsid w:val="003D2843"/>
    <w:rsid w:val="003D3593"/>
    <w:rsid w:val="003D60DF"/>
    <w:rsid w:val="004277C8"/>
    <w:rsid w:val="00435C69"/>
    <w:rsid w:val="004675CA"/>
    <w:rsid w:val="004B6753"/>
    <w:rsid w:val="004B7D36"/>
    <w:rsid w:val="004E0A0D"/>
    <w:rsid w:val="004F3D08"/>
    <w:rsid w:val="005167AA"/>
    <w:rsid w:val="00533138"/>
    <w:rsid w:val="00533F36"/>
    <w:rsid w:val="0054326F"/>
    <w:rsid w:val="0055650A"/>
    <w:rsid w:val="00560196"/>
    <w:rsid w:val="00561115"/>
    <w:rsid w:val="005736B0"/>
    <w:rsid w:val="00574B12"/>
    <w:rsid w:val="005A7F19"/>
    <w:rsid w:val="005B7981"/>
    <w:rsid w:val="00610D2E"/>
    <w:rsid w:val="006433D9"/>
    <w:rsid w:val="006447AB"/>
    <w:rsid w:val="0066385D"/>
    <w:rsid w:val="00682BDC"/>
    <w:rsid w:val="00687EDD"/>
    <w:rsid w:val="00694949"/>
    <w:rsid w:val="006A00BE"/>
    <w:rsid w:val="006A13D1"/>
    <w:rsid w:val="006A2F70"/>
    <w:rsid w:val="006D1AF5"/>
    <w:rsid w:val="006D597F"/>
    <w:rsid w:val="00762F5A"/>
    <w:rsid w:val="00783454"/>
    <w:rsid w:val="007A78C0"/>
    <w:rsid w:val="007C50F0"/>
    <w:rsid w:val="007F4829"/>
    <w:rsid w:val="00801131"/>
    <w:rsid w:val="00801594"/>
    <w:rsid w:val="00846298"/>
    <w:rsid w:val="00895A66"/>
    <w:rsid w:val="008E7305"/>
    <w:rsid w:val="008F289C"/>
    <w:rsid w:val="008F4329"/>
    <w:rsid w:val="0091788F"/>
    <w:rsid w:val="00917CE0"/>
    <w:rsid w:val="009278B4"/>
    <w:rsid w:val="009341F2"/>
    <w:rsid w:val="00937F0E"/>
    <w:rsid w:val="00940E1C"/>
    <w:rsid w:val="00940E76"/>
    <w:rsid w:val="009501FF"/>
    <w:rsid w:val="00974DBD"/>
    <w:rsid w:val="0098705C"/>
    <w:rsid w:val="009A0221"/>
    <w:rsid w:val="009A4C19"/>
    <w:rsid w:val="009D1CE2"/>
    <w:rsid w:val="009E11A9"/>
    <w:rsid w:val="009E318F"/>
    <w:rsid w:val="009F349A"/>
    <w:rsid w:val="009F5DAB"/>
    <w:rsid w:val="00A15330"/>
    <w:rsid w:val="00A65441"/>
    <w:rsid w:val="00A67BCB"/>
    <w:rsid w:val="00A70B85"/>
    <w:rsid w:val="00A75033"/>
    <w:rsid w:val="00A76C4B"/>
    <w:rsid w:val="00AA37F9"/>
    <w:rsid w:val="00AA6EDF"/>
    <w:rsid w:val="00AB1791"/>
    <w:rsid w:val="00AD4C4D"/>
    <w:rsid w:val="00AD6987"/>
    <w:rsid w:val="00B04F9F"/>
    <w:rsid w:val="00B10EF6"/>
    <w:rsid w:val="00B17988"/>
    <w:rsid w:val="00B2228F"/>
    <w:rsid w:val="00B365E8"/>
    <w:rsid w:val="00B379D4"/>
    <w:rsid w:val="00B741DD"/>
    <w:rsid w:val="00B9054A"/>
    <w:rsid w:val="00BA5235"/>
    <w:rsid w:val="00BA5F20"/>
    <w:rsid w:val="00BF3041"/>
    <w:rsid w:val="00C25410"/>
    <w:rsid w:val="00C27950"/>
    <w:rsid w:val="00C31C1C"/>
    <w:rsid w:val="00C53324"/>
    <w:rsid w:val="00C828A9"/>
    <w:rsid w:val="00C864B4"/>
    <w:rsid w:val="00CA3121"/>
    <w:rsid w:val="00CA5E4E"/>
    <w:rsid w:val="00CE07A1"/>
    <w:rsid w:val="00CE297B"/>
    <w:rsid w:val="00CF08F8"/>
    <w:rsid w:val="00D07DF3"/>
    <w:rsid w:val="00D16AD2"/>
    <w:rsid w:val="00D35E45"/>
    <w:rsid w:val="00D61EE0"/>
    <w:rsid w:val="00D82869"/>
    <w:rsid w:val="00D95E16"/>
    <w:rsid w:val="00DE2F70"/>
    <w:rsid w:val="00DF643C"/>
    <w:rsid w:val="00E00159"/>
    <w:rsid w:val="00E06F36"/>
    <w:rsid w:val="00E136A6"/>
    <w:rsid w:val="00E214A1"/>
    <w:rsid w:val="00E2160D"/>
    <w:rsid w:val="00E27D27"/>
    <w:rsid w:val="00E27F21"/>
    <w:rsid w:val="00E567D6"/>
    <w:rsid w:val="00E72C57"/>
    <w:rsid w:val="00E7430F"/>
    <w:rsid w:val="00E82DA0"/>
    <w:rsid w:val="00E900D3"/>
    <w:rsid w:val="00EE0C5E"/>
    <w:rsid w:val="00EF6C12"/>
    <w:rsid w:val="00F06AD6"/>
    <w:rsid w:val="00F33721"/>
    <w:rsid w:val="00F4437B"/>
    <w:rsid w:val="00F444D5"/>
    <w:rsid w:val="00F57116"/>
    <w:rsid w:val="00F95A98"/>
    <w:rsid w:val="00FB1794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0BE8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AD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F632-8D9E-41E2-B5EB-D172CF8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25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146</cp:revision>
  <dcterms:created xsi:type="dcterms:W3CDTF">2020-01-17T10:02:00Z</dcterms:created>
  <dcterms:modified xsi:type="dcterms:W3CDTF">2020-08-17T09:37:00Z</dcterms:modified>
</cp:coreProperties>
</file>