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B4" w:rsidRDefault="003B6FB4" w:rsidP="003B6FB4">
      <w:pPr>
        <w:pStyle w:val="NoSpacing"/>
        <w:spacing w:after="0"/>
        <w:rPr>
          <w:smallCaps/>
          <w:szCs w:val="20"/>
          <w:lang w:val="en-US"/>
        </w:rPr>
      </w:pPr>
    </w:p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542DB4" w:rsidRPr="00542DB4" w:rsidTr="00A47D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6.</w:t>
            </w: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1</w:t>
            </w:r>
          </w:p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542DB4" w:rsidRPr="00542DB4" w:rsidRDefault="00542DB4" w:rsidP="00542DB4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542DB4" w:rsidRPr="00542DB4" w:rsidTr="00A47D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096247FB" wp14:editId="1A70184A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542DB4" w:rsidRDefault="00542DB4" w:rsidP="003B6FB4">
      <w:pPr>
        <w:pStyle w:val="NoSpacing"/>
        <w:spacing w:after="0"/>
        <w:rPr>
          <w:smallCaps/>
          <w:szCs w:val="20"/>
          <w:lang w:val="en-US"/>
        </w:rPr>
      </w:pPr>
    </w:p>
    <w:p w:rsidR="00542DB4" w:rsidRPr="00542DB4" w:rsidRDefault="00542DB4" w:rsidP="00542DB4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542DB4" w:rsidRPr="00542DB4" w:rsidRDefault="00542DB4" w:rsidP="00542DB4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542DB4">
        <w:rPr>
          <w:rFonts w:ascii="Verdana" w:hAnsi="Verdana"/>
          <w:b/>
          <w:color w:val="FFFFFF" w:themeColor="background1"/>
          <w:sz w:val="32"/>
          <w:lang w:val="bg-BG"/>
        </w:rPr>
        <w:t>ГОДИШЕН ДОКЛАД</w:t>
      </w:r>
    </w:p>
    <w:p w:rsidR="00542DB4" w:rsidRPr="00542DB4" w:rsidRDefault="00542DB4" w:rsidP="00542DB4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ЗА ИЗПЪЛНЕНИЕ НА ОБ</w:t>
      </w:r>
      <w:r>
        <w:rPr>
          <w:rFonts w:ascii="Verdana" w:hAnsi="Verdana"/>
          <w:b/>
          <w:color w:val="FFFFFF" w:themeColor="background1"/>
          <w:sz w:val="24"/>
          <w:lang w:val="bg-BG"/>
        </w:rPr>
        <w:t>ЩИНСКАТА</w:t>
      </w: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ПОЛИТИКА ПО БДП </w:t>
      </w:r>
    </w:p>
    <w:p w:rsidR="00542DB4" w:rsidRPr="00542DB4" w:rsidRDefault="00542DB4" w:rsidP="00542DB4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542DB4" w:rsidRDefault="00542DB4" w:rsidP="003B6FB4">
      <w:pPr>
        <w:pStyle w:val="NoSpacing"/>
        <w:spacing w:after="0"/>
        <w:rPr>
          <w:smallCaps/>
          <w:szCs w:val="20"/>
          <w:lang w:val="en-US"/>
        </w:rPr>
      </w:pPr>
    </w:p>
    <w:p w:rsidR="0049768E" w:rsidRPr="009E28E9" w:rsidRDefault="00682BDC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Докладът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на об</w:t>
      </w:r>
      <w:r w:rsidR="0049768E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щинско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ниво се разработва на годишна база</w:t>
      </w:r>
      <w:r w:rsidR="00BA5235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, като отразява състоянието на БДП и изпълнението на </w:t>
      </w:r>
      <w:r w:rsidR="0049768E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общинската</w:t>
      </w:r>
      <w:r w:rsidR="00BA5235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политика по БДП към съответната отчетна година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.</w:t>
      </w:r>
      <w:r w:rsidR="00E214A1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</w:p>
    <w:p w:rsidR="00654AF6" w:rsidRPr="009E28E9" w:rsidRDefault="0049768E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Докладът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се представя </w:t>
      </w:r>
      <w:r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от Общината 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на секретариата на ОКБДП в срок до </w:t>
      </w:r>
      <w:r w:rsidR="003E256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15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3E256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февруари</w:t>
      </w:r>
      <w:r w:rsidR="00EF6C12" w:rsidRPr="009E28E9">
        <w:rPr>
          <w:rFonts w:ascii="Verdana" w:hAnsi="Verdana"/>
          <w:b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на годината, </w:t>
      </w:r>
      <w:r w:rsidR="00682BD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следваща отчетната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година,</w:t>
      </w:r>
      <w:r w:rsidR="00EF6C12" w:rsidRPr="009E28E9">
        <w:rPr>
          <w:rFonts w:ascii="Verdana" w:hAnsi="Verdana"/>
          <w:b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с цел включване на </w:t>
      </w:r>
      <w:r w:rsidR="00682BD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информацията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в един</w:t>
      </w:r>
      <w:r w:rsidR="00682BD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ен о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бласт</w:t>
      </w:r>
      <w:r w:rsidR="00682BD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е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н</w:t>
      </w:r>
      <w:r w:rsidR="00682BD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доклад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. </w:t>
      </w:r>
    </w:p>
    <w:p w:rsidR="0049768E" w:rsidRPr="009E28E9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color w:val="404040" w:themeColor="text1" w:themeTint="BF"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00067" w:rsidRPr="00542DB4" w:rsidRDefault="00E214A1" w:rsidP="00400067">
      <w:pPr>
        <w:shd w:val="clear" w:color="auto" w:fill="F55F41"/>
        <w:spacing w:after="0" w:line="240" w:lineRule="auto"/>
        <w:ind w:right="-35"/>
        <w:rPr>
          <w:rFonts w:ascii="Verdana" w:hAnsi="Verdana"/>
          <w:i/>
          <w:color w:val="FFFFFF" w:themeColor="background1"/>
          <w:sz w:val="20"/>
          <w:lang w:val="bg-BG"/>
        </w:rPr>
      </w:pPr>
      <w:r w:rsidRPr="00E214A1">
        <w:rPr>
          <w:rFonts w:ascii="Verdana" w:hAnsi="Verdana"/>
          <w:b/>
          <w:i/>
          <w:sz w:val="20"/>
          <w:szCs w:val="20"/>
          <w:lang w:val="bg-BG"/>
        </w:rPr>
        <w:lastRenderedPageBreak/>
        <w:t xml:space="preserve"> </w:t>
      </w:r>
    </w:p>
    <w:p w:rsidR="00400067" w:rsidRPr="00542DB4" w:rsidRDefault="00400067" w:rsidP="00400067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РАЗДЕЛ 1</w:t>
      </w:r>
    </w:p>
    <w:p w:rsidR="00400067" w:rsidRPr="00542DB4" w:rsidRDefault="00400067" w:rsidP="00400067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24"/>
          <w:lang w:val="bg-BG"/>
        </w:rPr>
        <w:t>ОБЩА ИНФОРМАЦИЯ</w:t>
      </w: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400067" w:rsidRPr="00542DB4" w:rsidRDefault="00400067" w:rsidP="00400067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C27950" w:rsidRPr="00C27950" w:rsidRDefault="00C27950" w:rsidP="00400067">
      <w:pPr>
        <w:shd w:val="clear" w:color="auto" w:fill="FFFFFF" w:themeFill="background1"/>
        <w:rPr>
          <w:rFonts w:ascii="Verdana" w:hAnsi="Verdana"/>
          <w:b/>
          <w:sz w:val="8"/>
          <w:szCs w:val="8"/>
          <w:lang w:val="bg-BG"/>
        </w:rPr>
      </w:pPr>
    </w:p>
    <w:tbl>
      <w:tblPr>
        <w:tblStyle w:val="TableGrid4"/>
        <w:tblW w:w="13036" w:type="dxa"/>
        <w:tblLook w:val="04A0" w:firstRow="1" w:lastRow="0" w:firstColumn="1" w:lastColumn="0" w:noHBand="0" w:noVBand="1"/>
      </w:tblPr>
      <w:tblGrid>
        <w:gridCol w:w="2782"/>
        <w:gridCol w:w="10254"/>
      </w:tblGrid>
      <w:tr w:rsidR="000C4555" w:rsidRPr="000C4555" w:rsidTr="00400067">
        <w:tc>
          <w:tcPr>
            <w:tcW w:w="2782" w:type="dxa"/>
            <w:shd w:val="clear" w:color="auto" w:fill="FFD966" w:themeFill="accent4" w:themeFillTint="99"/>
          </w:tcPr>
          <w:p w:rsidR="000C4555" w:rsidRPr="009E28E9" w:rsidRDefault="000C4555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Об</w:t>
            </w:r>
            <w:r w:rsidR="0049768E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щина</w:t>
            </w: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:</w:t>
            </w:r>
          </w:p>
          <w:p w:rsidR="000C4555" w:rsidRPr="009E28E9" w:rsidRDefault="000C4555" w:rsidP="00C27950">
            <w:pPr>
              <w:ind w:right="-58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CF08F8" w:rsidRPr="009E28E9" w:rsidRDefault="00CF08F8" w:rsidP="00C27950">
            <w:pPr>
              <w:ind w:right="-58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E0A0D" w:rsidRPr="009E28E9" w:rsidRDefault="004E0A0D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</w:tcPr>
          <w:p w:rsidR="00CF08F8" w:rsidRPr="004E0A0D" w:rsidRDefault="00CF08F8" w:rsidP="000C4555">
            <w:pPr>
              <w:rPr>
                <w:rFonts w:ascii="Verdana" w:hAnsi="Verdana"/>
                <w:sz w:val="20"/>
                <w:lang w:val="bg-BG"/>
              </w:rPr>
            </w:pPr>
          </w:p>
        </w:tc>
      </w:tr>
      <w:tr w:rsidR="000C4555" w:rsidRPr="000C4555" w:rsidTr="00400067">
        <w:tc>
          <w:tcPr>
            <w:tcW w:w="2782" w:type="dxa"/>
            <w:shd w:val="clear" w:color="auto" w:fill="FFD966" w:themeFill="accent4" w:themeFillTint="99"/>
          </w:tcPr>
          <w:p w:rsidR="000C4555" w:rsidRPr="009E28E9" w:rsidRDefault="000C4555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Населени места в състава на </w:t>
            </w:r>
            <w:r w:rsidR="0049768E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общината</w:t>
            </w: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:</w:t>
            </w:r>
          </w:p>
          <w:p w:rsidR="0049768E" w:rsidRPr="009E28E9" w:rsidRDefault="0049768E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277C8" w:rsidRPr="009E28E9" w:rsidRDefault="004277C8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277C8" w:rsidRPr="009E28E9" w:rsidRDefault="004277C8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</w:tcPr>
          <w:p w:rsidR="000C4555" w:rsidRPr="004E0A0D" w:rsidRDefault="000C4555" w:rsidP="000C4555">
            <w:pPr>
              <w:rPr>
                <w:rFonts w:ascii="Verdana" w:hAnsi="Verdana"/>
                <w:sz w:val="20"/>
                <w:lang w:val="bg-BG"/>
              </w:rPr>
            </w:pPr>
          </w:p>
        </w:tc>
      </w:tr>
    </w:tbl>
    <w:p w:rsidR="000C4555" w:rsidRDefault="000C4555" w:rsidP="000C4555">
      <w:pPr>
        <w:rPr>
          <w:rFonts w:ascii="Verdana" w:hAnsi="Verdana"/>
          <w:sz w:val="8"/>
          <w:szCs w:val="8"/>
          <w:lang w:val="bg-BG"/>
        </w:rPr>
      </w:pPr>
    </w:p>
    <w:p w:rsidR="009E28E9" w:rsidRPr="00542DB4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9E28E9" w:rsidRPr="00542DB4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 xml:space="preserve">РАЗДЕЛ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2</w:t>
      </w:r>
    </w:p>
    <w:p w:rsidR="009E28E9" w:rsidRPr="009E28E9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9E28E9">
        <w:rPr>
          <w:rFonts w:ascii="Verdana" w:hAnsi="Verdana"/>
          <w:b/>
          <w:color w:val="FFFFFF" w:themeColor="background1"/>
          <w:sz w:val="24"/>
          <w:lang w:val="bg-BG"/>
        </w:rPr>
        <w:t xml:space="preserve">СЪСТОЯНИЕ НА ПЪТНАТА И ТРАНСПОРТНАТА ИНФРАСТРУКТУРА </w:t>
      </w:r>
    </w:p>
    <w:p w:rsidR="009E28E9" w:rsidRPr="00542DB4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9E28E9" w:rsidRDefault="009E28E9" w:rsidP="000C4555">
      <w:pPr>
        <w:rPr>
          <w:rFonts w:ascii="Verdana" w:hAnsi="Verdana"/>
          <w:sz w:val="8"/>
          <w:szCs w:val="8"/>
          <w:lang w:val="bg-BG"/>
        </w:rPr>
      </w:pPr>
    </w:p>
    <w:tbl>
      <w:tblPr>
        <w:tblStyle w:val="TableGrid4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0C4555" w:rsidRPr="000C4555" w:rsidTr="006433D9">
        <w:tc>
          <w:tcPr>
            <w:tcW w:w="13036" w:type="dxa"/>
          </w:tcPr>
          <w:p w:rsidR="000C4555" w:rsidRPr="009E28E9" w:rsidRDefault="000160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3.1 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Дължина на общинска</w:t>
            </w: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та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</w:t>
            </w:r>
            <w:r w:rsidR="00537E40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пътна 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и улична мрежа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: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</w:rPr>
              <w:t xml:space="preserve"> </w:t>
            </w:r>
          </w:p>
          <w:p w:rsidR="002626F4" w:rsidRPr="009E28E9" w:rsidRDefault="002626F4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</w:rPr>
            </w:pPr>
          </w:p>
          <w:p w:rsidR="002626F4" w:rsidRPr="009E28E9" w:rsidRDefault="002626F4" w:rsidP="002626F4">
            <w:pPr>
              <w:pStyle w:val="ListParagraph"/>
              <w:numPr>
                <w:ilvl w:val="0"/>
                <w:numId w:val="18"/>
              </w:num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улици: …………………………….</w:t>
            </w:r>
          </w:p>
          <w:p w:rsidR="002626F4" w:rsidRPr="009E28E9" w:rsidRDefault="002626F4" w:rsidP="0049768E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</w:rPr>
            </w:pPr>
          </w:p>
          <w:p w:rsidR="002626F4" w:rsidRPr="009E28E9" w:rsidRDefault="002626F4" w:rsidP="002626F4">
            <w:pPr>
              <w:pStyle w:val="ListParagraph"/>
              <w:numPr>
                <w:ilvl w:val="0"/>
                <w:numId w:val="18"/>
              </w:num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общински пътища: …………………………………</w:t>
            </w:r>
          </w:p>
          <w:p w:rsidR="002626F4" w:rsidRPr="009E28E9" w:rsidRDefault="002626F4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626F4" w:rsidRPr="009E28E9" w:rsidRDefault="000160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3.2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Н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астилк</w:t>
            </w:r>
            <w:r w:rsidR="009D601F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и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:</w:t>
            </w:r>
          </w:p>
          <w:p w:rsidR="002626F4" w:rsidRPr="009E28E9" w:rsidRDefault="002626F4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626F4" w:rsidRPr="009E28E9" w:rsidRDefault="002626F4" w:rsidP="002626F4">
            <w:pPr>
              <w:pStyle w:val="ListParagraph"/>
              <w:numPr>
                <w:ilvl w:val="0"/>
                <w:numId w:val="17"/>
              </w:num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по улици: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…………………………………………………………………………………..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деформации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 (единични пукнатини, мрежовидни пукнатини, слягания и др.)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от общинските пътища със сериозни деформации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</w:t>
            </w:r>
          </w:p>
          <w:p w:rsidR="002626F4" w:rsidRPr="009E28E9" w:rsidRDefault="002626F4" w:rsidP="002626F4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2626F4" w:rsidRPr="009E28E9" w:rsidRDefault="002626F4" w:rsidP="002626F4">
            <w:pPr>
              <w:pStyle w:val="ListParagraph"/>
              <w:numPr>
                <w:ilvl w:val="0"/>
                <w:numId w:val="17"/>
              </w:num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общински пътища: </w:t>
            </w:r>
          </w:p>
          <w:p w:rsidR="002626F4" w:rsidRPr="009E28E9" w:rsidRDefault="002626F4" w:rsidP="002626F4">
            <w:pPr>
              <w:ind w:left="46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2626F4" w:rsidRPr="009E28E9" w:rsidRDefault="001D560D" w:rsidP="002626F4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</w:t>
            </w:r>
            <w:r w:rsidR="002626F4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бщо състояние</w:t>
            </w:r>
            <w:r w:rsidR="002626F4"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…………………………………………………………………………………..</w:t>
            </w:r>
          </w:p>
          <w:p w:rsidR="002626F4" w:rsidRDefault="002626F4" w:rsidP="002626F4">
            <w:pPr>
              <w:ind w:left="106" w:right="182"/>
              <w:rPr>
                <w:rFonts w:ascii="Verdana" w:hAnsi="Verdana"/>
                <w:sz w:val="20"/>
                <w:lang w:val="bg-BG"/>
              </w:rPr>
            </w:pPr>
          </w:p>
          <w:p w:rsidR="002626F4" w:rsidRPr="002626F4" w:rsidRDefault="001D560D" w:rsidP="002626F4">
            <w:pPr>
              <w:ind w:left="106" w:right="182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i/>
                <w:sz w:val="20"/>
                <w:lang w:val="bg-BG"/>
              </w:rPr>
              <w:t>О</w:t>
            </w:r>
            <w:r w:rsidR="002626F4" w:rsidRPr="001D560D">
              <w:rPr>
                <w:rFonts w:ascii="Verdana" w:hAnsi="Verdana"/>
                <w:i/>
                <w:sz w:val="20"/>
                <w:lang w:val="bg-BG"/>
              </w:rPr>
              <w:t>сновни видове деформации</w:t>
            </w:r>
            <w:r w:rsidR="002626F4">
              <w:rPr>
                <w:rFonts w:ascii="Verdana" w:hAnsi="Verdana"/>
                <w:sz w:val="20"/>
                <w:lang w:val="bg-BG"/>
              </w:rPr>
              <w:t>: ……………………………………………</w:t>
            </w:r>
            <w:r>
              <w:rPr>
                <w:rFonts w:ascii="Verdana" w:hAnsi="Verdana"/>
                <w:sz w:val="20"/>
                <w:lang w:val="bg-BG"/>
              </w:rPr>
              <w:t xml:space="preserve"> (единични/мрежовидни пукнатини, слягания и др.)</w:t>
            </w:r>
          </w:p>
          <w:p w:rsidR="002626F4" w:rsidRDefault="002626F4" w:rsidP="002626F4">
            <w:pPr>
              <w:ind w:left="106" w:right="182"/>
              <w:rPr>
                <w:rFonts w:ascii="Verdana" w:hAnsi="Verdana"/>
                <w:sz w:val="20"/>
                <w:lang w:val="bg-BG"/>
              </w:rPr>
            </w:pPr>
          </w:p>
          <w:p w:rsidR="002626F4" w:rsidRPr="002626F4" w:rsidRDefault="001D560D" w:rsidP="002626F4">
            <w:pPr>
              <w:ind w:left="106" w:right="182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i/>
                <w:sz w:val="20"/>
                <w:lang w:val="bg-BG"/>
              </w:rPr>
              <w:t>П</w:t>
            </w:r>
            <w:r w:rsidR="002626F4" w:rsidRPr="001D560D">
              <w:rPr>
                <w:rFonts w:ascii="Verdana" w:hAnsi="Verdana"/>
                <w:i/>
                <w:sz w:val="20"/>
                <w:lang w:val="bg-BG"/>
              </w:rPr>
              <w:t>роцент</w:t>
            </w:r>
            <w:r w:rsidR="00525B31">
              <w:rPr>
                <w:rFonts w:ascii="Verdana" w:hAnsi="Verdana"/>
                <w:i/>
                <w:sz w:val="20"/>
                <w:lang w:val="bg-BG"/>
              </w:rPr>
              <w:t>ен дял</w:t>
            </w:r>
            <w:r w:rsidR="002626F4" w:rsidRPr="001D560D">
              <w:rPr>
                <w:rFonts w:ascii="Verdana" w:hAnsi="Verdana"/>
                <w:i/>
                <w:sz w:val="20"/>
                <w:lang w:val="bg-BG"/>
              </w:rPr>
              <w:t xml:space="preserve"> от общинските пътища със сериозни деформации</w:t>
            </w:r>
            <w:r w:rsidR="002626F4">
              <w:rPr>
                <w:rFonts w:ascii="Verdana" w:hAnsi="Verdana"/>
                <w:sz w:val="20"/>
                <w:lang w:val="bg-BG"/>
              </w:rPr>
              <w:t>: ……………………………………………………</w:t>
            </w:r>
          </w:p>
          <w:p w:rsidR="002626F4" w:rsidRDefault="002626F4" w:rsidP="002626F4">
            <w:pPr>
              <w:ind w:left="106" w:right="182"/>
              <w:rPr>
                <w:rFonts w:ascii="Verdana" w:hAnsi="Verdana"/>
                <w:i/>
                <w:sz w:val="20"/>
                <w:lang w:val="bg-BG"/>
              </w:rPr>
            </w:pPr>
          </w:p>
          <w:p w:rsidR="0049768E" w:rsidRPr="009E28E9" w:rsidRDefault="000160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3.3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С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игнализация и маркировка</w:t>
            </w:r>
            <w:r w:rsidR="00C758AB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pStyle w:val="ListParagraph"/>
              <w:numPr>
                <w:ilvl w:val="0"/>
                <w:numId w:val="17"/>
              </w:num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улици: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…………………………………………………………………………………..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……………………………………………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липсваща сигнализация и маркировка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</w:t>
            </w:r>
          </w:p>
          <w:p w:rsidR="0049768E" w:rsidRPr="009E28E9" w:rsidRDefault="0049768E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pStyle w:val="ListParagraph"/>
              <w:numPr>
                <w:ilvl w:val="0"/>
                <w:numId w:val="17"/>
              </w:num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общински пътища: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…………………………………………………………………………………..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……………………………………………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липсваща сигнализация и маркировка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</w:t>
            </w:r>
          </w:p>
          <w:p w:rsidR="001D560D" w:rsidRPr="009E28E9" w:rsidRDefault="001D560D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9768E" w:rsidRPr="009E28E9" w:rsidRDefault="000160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3.4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Б</w:t>
            </w:r>
            <w:r w:rsidR="0049768E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анкети </w:t>
            </w:r>
          </w:p>
          <w:p w:rsidR="001D560D" w:rsidRPr="002626F4" w:rsidRDefault="001D560D" w:rsidP="0049768E">
            <w:pPr>
              <w:ind w:left="34" w:right="182"/>
              <w:rPr>
                <w:rFonts w:ascii="Verdana" w:hAnsi="Verdana"/>
                <w:b/>
                <w:color w:val="1F4E79" w:themeColor="accent1" w:themeShade="80"/>
                <w:sz w:val="20"/>
                <w:lang w:val="bg-BG"/>
              </w:rPr>
            </w:pPr>
          </w:p>
          <w:p w:rsidR="001D560D" w:rsidRPr="009E28E9" w:rsidRDefault="001D560D" w:rsidP="001D560D">
            <w:pPr>
              <w:pStyle w:val="ListParagraph"/>
              <w:numPr>
                <w:ilvl w:val="0"/>
                <w:numId w:val="17"/>
              </w:num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улици: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…………………………………………………………………………………..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……………………………………………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липсващи банкети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</w:t>
            </w:r>
          </w:p>
          <w:p w:rsidR="001D560D" w:rsidRPr="009E28E9" w:rsidRDefault="001D560D" w:rsidP="001D560D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pStyle w:val="ListParagraph"/>
              <w:numPr>
                <w:ilvl w:val="0"/>
                <w:numId w:val="17"/>
              </w:num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общински пътища: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…………………………………………………………………………………..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……………………………………………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липсващи банкети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</w:t>
            </w:r>
          </w:p>
          <w:p w:rsidR="001D560D" w:rsidRPr="009E28E9" w:rsidRDefault="001D560D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9768E" w:rsidRPr="009E28E9" w:rsidRDefault="000160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3.5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граничителни системи </w:t>
            </w:r>
          </w:p>
          <w:p w:rsidR="001D560D" w:rsidRPr="009E28E9" w:rsidRDefault="001D560D" w:rsidP="0049768E">
            <w:pPr>
              <w:ind w:left="34"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lastRenderedPageBreak/>
              <w:t>Общо състояние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…………………………………………………………………………………..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……………………………………………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липсващи</w:t>
            </w:r>
            <w:r w:rsidR="00525B31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ограничителни системи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</w:t>
            </w:r>
          </w:p>
          <w:p w:rsidR="001D560D" w:rsidRPr="009E28E9" w:rsidRDefault="001D560D" w:rsidP="001D560D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pStyle w:val="ListParagraph"/>
              <w:numPr>
                <w:ilvl w:val="0"/>
                <w:numId w:val="17"/>
              </w:num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общински пътища: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…………………………………………………………………………………..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……………………………………………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липсващи</w:t>
            </w:r>
            <w:r w:rsidR="00525B31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ограничителни системи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</w:t>
            </w:r>
          </w:p>
          <w:p w:rsidR="001D560D" w:rsidRPr="009E28E9" w:rsidRDefault="001D560D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FA104F" w:rsidRPr="009E28E9" w:rsidRDefault="00FA104F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C4555" w:rsidRPr="009E28E9" w:rsidRDefault="000160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3.6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К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ръстовища, пешеходни пътеки, спирки на градския транспорт, подлези и надлези</w:t>
            </w:r>
            <w:r w:rsidR="00C21127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и светофар</w:t>
            </w:r>
            <w:r w:rsidR="00B27737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ни уредби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49768E" w:rsidRPr="009E28E9" w:rsidRDefault="0049768E" w:rsidP="0049768E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color w:val="404040" w:themeColor="text1" w:themeTint="BF"/>
                <w:sz w:val="20"/>
              </w:rPr>
              <w:t>………………………………………………………………………………………………………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…………………………………………………………………………………………….</w:t>
            </w:r>
          </w:p>
          <w:p w:rsidR="0049768E" w:rsidRPr="009E28E9" w:rsidRDefault="0049768E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C4555" w:rsidRPr="009E28E9" w:rsidRDefault="000160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3.7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В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елоалеи </w:t>
            </w:r>
          </w:p>
          <w:p w:rsidR="0049768E" w:rsidRPr="009E28E9" w:rsidRDefault="0049768E" w:rsidP="0049768E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color w:val="404040" w:themeColor="text1" w:themeTint="BF"/>
                <w:sz w:val="20"/>
              </w:rPr>
              <w:t>………………………………………………………………………………………………………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…………………………………………………………………………………………….</w:t>
            </w:r>
          </w:p>
          <w:p w:rsidR="00C86427" w:rsidRPr="009E28E9" w:rsidRDefault="00C86427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C4555" w:rsidRPr="009E28E9" w:rsidRDefault="00016055" w:rsidP="0049768E">
            <w:pPr>
              <w:ind w:left="34" w:right="182"/>
              <w:rPr>
                <w:rFonts w:ascii="Verdana" w:hAnsi="Verdana"/>
                <w:b/>
                <w:i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3.8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рилежаща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инфраструктура 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около учебни заведения и детски градини </w:t>
            </w:r>
            <w:r w:rsidR="00E16F4B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от гледна точка на безопасността 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(места за пресичане и паркиране</w:t>
            </w:r>
            <w:r w:rsidR="00C86427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,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предпазни огради</w:t>
            </w:r>
            <w:r w:rsidR="00C86427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,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ограничения на скоростта</w:t>
            </w:r>
            <w:r w:rsidR="00C86427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,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осветеност) </w:t>
            </w:r>
            <w:r w:rsidR="000C4555" w:rsidRPr="009E28E9">
              <w:rPr>
                <w:rFonts w:ascii="Verdana" w:hAnsi="Verdana"/>
                <w:b/>
                <w:i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C86427" w:rsidRPr="009E28E9" w:rsidRDefault="00C86427" w:rsidP="00C86427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color w:val="404040" w:themeColor="text1" w:themeTint="BF"/>
                <w:sz w:val="20"/>
              </w:rPr>
              <w:t>………………………………………………………………………………………………………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…………………………………………………………………………………………….</w:t>
            </w:r>
          </w:p>
          <w:p w:rsidR="00C86427" w:rsidRPr="00A6658E" w:rsidRDefault="00C86427" w:rsidP="00C86427">
            <w:pPr>
              <w:ind w:left="34" w:right="182"/>
              <w:rPr>
                <w:rFonts w:ascii="Verdana" w:hAnsi="Verdana"/>
                <w:sz w:val="20"/>
                <w:lang w:val="bg-BG"/>
              </w:rPr>
            </w:pPr>
          </w:p>
          <w:p w:rsidR="000C4555" w:rsidRPr="009E28E9" w:rsidRDefault="00016055" w:rsidP="0049768E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3.9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А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втогари, ж.п. гари и прилежащата към тях инфраструктура </w:t>
            </w:r>
          </w:p>
          <w:p w:rsidR="00C86427" w:rsidRPr="009E28E9" w:rsidRDefault="00C86427" w:rsidP="00C86427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color w:val="404040" w:themeColor="text1" w:themeTint="BF"/>
                <w:sz w:val="20"/>
              </w:rPr>
              <w:t>………………………………………………………………………………………………………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…………………………………………………………………………………………….</w:t>
            </w:r>
          </w:p>
          <w:p w:rsidR="00C86427" w:rsidRPr="009E28E9" w:rsidRDefault="00C86427" w:rsidP="00C86427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B27737" w:rsidRPr="009E28E9" w:rsidRDefault="00B27737" w:rsidP="00C86427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C86427" w:rsidRPr="009E28E9" w:rsidRDefault="00016055" w:rsidP="00C86427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3.10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</w:t>
            </w:r>
            <w:r w:rsidR="00C86427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бществен транспорт (наличие, средна възраст, географско покритие, свързаност) </w:t>
            </w:r>
          </w:p>
          <w:p w:rsidR="00C86427" w:rsidRPr="009E28E9" w:rsidRDefault="00C86427" w:rsidP="00C86427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color w:val="404040" w:themeColor="text1" w:themeTint="BF"/>
                <w:sz w:val="20"/>
              </w:rPr>
              <w:t>………………………………………………………………………………………………………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…………………………………………………………………………………………….</w:t>
            </w:r>
          </w:p>
          <w:p w:rsidR="00C86427" w:rsidRPr="009E28E9" w:rsidRDefault="00C86427" w:rsidP="00C86427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C4555" w:rsidRPr="009E28E9" w:rsidRDefault="00016055" w:rsidP="002626F4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3.11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А</w:t>
            </w:r>
            <w:r w:rsidR="00C86427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втобуси, извършващи транспорт в системата на училищното и предучилищното образование (брой, средна възраст и техническо състояние)  </w:t>
            </w:r>
            <w:r w:rsidR="00C86427" w:rsidRPr="009E28E9">
              <w:rPr>
                <w:rFonts w:ascii="Verdana" w:hAnsi="Verdana"/>
                <w:color w:val="404040" w:themeColor="text1" w:themeTint="BF"/>
                <w:sz w:val="20"/>
              </w:rPr>
              <w:t>………………………………………………………………………………………………………</w:t>
            </w:r>
            <w:r w:rsidR="00C86427"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…………………………………………………………………………………………….</w:t>
            </w:r>
          </w:p>
          <w:p w:rsidR="00FA104F" w:rsidRPr="000C4555" w:rsidRDefault="00FA104F" w:rsidP="002626F4">
            <w:pPr>
              <w:ind w:left="34" w:right="182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</w:tbl>
    <w:p w:rsidR="00DF643C" w:rsidRDefault="00DF643C" w:rsidP="00DF643C">
      <w:pPr>
        <w:shd w:val="clear" w:color="auto" w:fill="FFFFFF" w:themeFill="background1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6D226D" w:rsidRDefault="006D226D" w:rsidP="00DF643C">
      <w:pPr>
        <w:shd w:val="clear" w:color="auto" w:fill="FFFFFF" w:themeFill="background1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9E28E9" w:rsidRDefault="009E28E9" w:rsidP="009E28E9">
      <w:pPr>
        <w:rPr>
          <w:rFonts w:ascii="Verdana" w:hAnsi="Verdana"/>
          <w:sz w:val="8"/>
          <w:szCs w:val="8"/>
          <w:lang w:val="bg-BG"/>
        </w:rPr>
      </w:pPr>
    </w:p>
    <w:p w:rsidR="009E28E9" w:rsidRPr="00542DB4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9E28E9" w:rsidRPr="00542DB4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 xml:space="preserve">РАЗДЕЛ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3</w:t>
      </w:r>
    </w:p>
    <w:p w:rsidR="009E28E9" w:rsidRPr="009E28E9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9E28E9">
        <w:rPr>
          <w:rFonts w:ascii="Verdana" w:hAnsi="Verdana"/>
          <w:b/>
          <w:color w:val="FFFFFF" w:themeColor="background1"/>
          <w:sz w:val="24"/>
          <w:lang w:val="bg-BG"/>
        </w:rPr>
        <w:t>ГОДИШНО ИЗПЪЛНЕНИЕ НА ОБЩИНСКАТА ПЛАН-ПРОГРАМА</w:t>
      </w:r>
    </w:p>
    <w:p w:rsidR="009E28E9" w:rsidRPr="00542DB4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0C4555" w:rsidRDefault="000C4555" w:rsidP="00C91450">
      <w:pPr>
        <w:rPr>
          <w:rFonts w:ascii="Verdana" w:hAnsi="Verdana"/>
          <w:b/>
          <w:sz w:val="8"/>
          <w:szCs w:val="8"/>
          <w:lang w:val="bg-BG"/>
        </w:rPr>
      </w:pPr>
    </w:p>
    <w:tbl>
      <w:tblPr>
        <w:tblStyle w:val="TableGrid5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7796"/>
      </w:tblGrid>
      <w:tr w:rsidR="00C91450" w:rsidTr="00E8431B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450" w:rsidRDefault="00C91450">
            <w:pPr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</w:pPr>
            <w:r w:rsidRPr="005E3690"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  <w:t xml:space="preserve">Мярка </w:t>
            </w:r>
          </w:p>
          <w:p w:rsidR="00F26AAE" w:rsidRDefault="00F26AAE">
            <w:pPr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</w:pPr>
          </w:p>
          <w:p w:rsidR="00F26AAE" w:rsidRPr="00F26AAE" w:rsidRDefault="00F26AAE" w:rsidP="008A6CEA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450" w:rsidRPr="005E3690" w:rsidRDefault="00C91450" w:rsidP="00C91450">
            <w:pPr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</w:pPr>
            <w:r w:rsidRPr="005E3690"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  <w:t>Докладване на изпълнението на мярката</w:t>
            </w:r>
          </w:p>
          <w:p w:rsidR="00272BB9" w:rsidRPr="005E3690" w:rsidRDefault="00272BB9" w:rsidP="00C91450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  <w:p w:rsidR="003E5E42" w:rsidRDefault="003E5E42" w:rsidP="00C91450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М</w:t>
            </w:r>
            <w:r w:rsidR="00821484" w:rsidRPr="005E3690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оля опишете </w:t>
            </w:r>
            <w:r w:rsidR="00272BB9" w:rsidRPr="005E3690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как </w:t>
            </w:r>
            <w: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са</w:t>
            </w:r>
            <w:r w:rsidRPr="005E3690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 изпълнен</w:t>
            </w:r>
            <w: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и</w:t>
            </w:r>
            <w:r w:rsidRPr="005E3690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 </w:t>
            </w:r>
            <w:r w:rsidR="00272BB9" w:rsidRPr="005E3690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м</w:t>
            </w:r>
            <w: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ерките. </w:t>
            </w:r>
          </w:p>
          <w:p w:rsidR="003E5E42" w:rsidRDefault="003E5E42" w:rsidP="00C91450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  <w:p w:rsidR="003E5E42" w:rsidRDefault="003E5E42" w:rsidP="00C91450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А</w:t>
            </w:r>
            <w:r w:rsidR="00272BB9" w:rsidRPr="005E3690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ко </w:t>
            </w:r>
            <w: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дадена </w:t>
            </w:r>
            <w:r w:rsidR="00272BB9" w:rsidRPr="005E3690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мярка не е изпълнена, опишете причините за това</w:t>
            </w:r>
            <w: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.</w:t>
            </w:r>
          </w:p>
          <w:p w:rsidR="00821484" w:rsidRPr="005E3690" w:rsidRDefault="00821484" w:rsidP="00F26AAE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</w:tc>
      </w:tr>
      <w:tr w:rsidR="00AF548F" w:rsidRPr="00AF548F" w:rsidTr="00E8431B">
        <w:tc>
          <w:tcPr>
            <w:tcW w:w="13041" w:type="dxa"/>
            <w:gridSpan w:val="2"/>
            <w:shd w:val="clear" w:color="auto" w:fill="BFBFBF" w:themeFill="background1" w:themeFillShade="BF"/>
          </w:tcPr>
          <w:p w:rsidR="00AF548F" w:rsidRPr="00AF548F" w:rsidRDefault="00AF548F" w:rsidP="00AF548F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AF548F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ТЕМАТИЧНО НАПРАВЛЕНИЕ 1:</w:t>
            </w: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  <w:r w:rsidRPr="00AF548F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УПРАВЛЕНИЕ, ОСНОВАНО НА ИНТЕГРИТЕТ</w:t>
            </w:r>
          </w:p>
        </w:tc>
      </w:tr>
      <w:tr w:rsidR="00AF548F" w:rsidRPr="00AF548F" w:rsidTr="00E8431B">
        <w:trPr>
          <w:trHeight w:val="952"/>
        </w:trPr>
        <w:tc>
          <w:tcPr>
            <w:tcW w:w="5245" w:type="dxa"/>
            <w:shd w:val="clear" w:color="auto" w:fill="FFFFFF" w:themeFill="background1"/>
          </w:tcPr>
          <w:p w:rsidR="00AF548F" w:rsidRPr="00AF548F" w:rsidRDefault="00AF548F" w:rsidP="00AF548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F548F" w:rsidRPr="00AF548F" w:rsidRDefault="00AF548F" w:rsidP="00AF548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 Разработване на годишна план-програма за БДП на общинско ниво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Pr="00AF548F" w:rsidRDefault="008F2D75" w:rsidP="00AF548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1.2 Изпълнение на годишна план-програма за БДП на общинско ниво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1.3 Участие в заседанията на областните комисии по БДП</w:t>
            </w:r>
            <w:r w:rsidRPr="00AF548F">
              <w:t xml:space="preserve"> 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 изпълнение на взетите решения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1.4 Участие в обучения за ОКБДП и общините, организирани от ДАБДП 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1.5 Изпълнение на методически указания на ДАБДП във връзка с политиката по БДП на общинско ниво, в изпълнение на националната стратегия и произтичащите от нея документи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1.6 Докладване на изпълнени мерки по БДП на тримесечна база на заседанията на ОКБДП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1.7 Подготовка на информация (Годишен общински доклад) от Общината за целите на годишен областен доклад по БДП на ОКБДП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1.8 </w:t>
            </w:r>
            <w:r w:rsidR="004D1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Наблюдение</w:t>
            </w:r>
            <w:r w:rsidR="004D1F9C"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оценка на изпълнението на политиката по БДП</w:t>
            </w:r>
            <w:r w:rsidR="004D1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общинско ниво (текущ </w:t>
            </w:r>
            <w:r w:rsidR="004D1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анализ на ефективността – доколко ефективни са изпълняваните мерки по БДП)</w:t>
            </w:r>
          </w:p>
          <w:p w:rsidR="004D1F9C" w:rsidRPr="00AF548F" w:rsidRDefault="004D1F9C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1.9 Приоритетно предвиждане от общинската администрация и одобряване от общинския съвет на мерки по БДП в годишния общински бюджет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1.10 </w:t>
            </w:r>
            <w:r w:rsidR="00011FA6" w:rsidRPr="00011FA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Повишаване капацитета на общините за управление на настъпило ПТП (реакция и координация на службите)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1.11 Провеждане на обществени консултации по важни теми в областта на БДП, насочени към установяване и отчитане на становищата на гражданското общество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1.12 Обезпечаване на общините с необходимия човешки и технически ресурс за координация на общинската политика по БДП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AF548F" w:rsidRPr="00AF548F" w:rsidTr="00E8431B">
        <w:tc>
          <w:tcPr>
            <w:tcW w:w="13041" w:type="dxa"/>
            <w:gridSpan w:val="2"/>
            <w:shd w:val="clear" w:color="auto" w:fill="BFBFBF" w:themeFill="background1" w:themeFillShade="BF"/>
          </w:tcPr>
          <w:p w:rsidR="00AF548F" w:rsidRPr="00AF548F" w:rsidRDefault="00AF548F" w:rsidP="00AF548F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AF548F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ТЕМАТИЧНО НАПРАВЛЕНИЕ 2:</w:t>
            </w: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 xml:space="preserve"> </w:t>
            </w:r>
            <w:r w:rsidRPr="00AF548F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СОЦИАЛНО-ОТГОВОРНО ПОВЕДЕНИЕ: УЧЕНЕ ПРЕЗ ЦЕЛИЯ ЖИВОТ</w:t>
            </w:r>
          </w:p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2.1 О</w:t>
            </w:r>
            <w:r w:rsidRPr="00AF548F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бучение на деца и ученици по БДП в системата на образованието</w:t>
            </w:r>
          </w:p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2.2 Организиране и провеждане на извънкласни инициативи по БДП за деца и ученици в системата</w:t>
            </w:r>
            <w:r w:rsidRPr="00AF548F">
              <w:rPr>
                <w:rFonts w:ascii="Verdana" w:eastAsia="Calibri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образованието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2.3 Ограничаване на рисковете от ПТП при осъществяване на организиран превоз на деца, свързан с учебна и/или извънучебна дейност в системата на образованието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2.4 Провеждане на кампании в областта на БДП, насочени към деца и ученици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2.5 Организиране и провеждане на превантивни кампании за водачите на ППС с акцент върху превишената/несъобразена скорост, шофирането след употреба на 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алкохол, наркотични вещества и техните аналози, ползване на предпазни средства, техническата изправност на МПС, поведение на участниците в движението при преминаване на автомобил със специален режим на движение, др.</w:t>
            </w:r>
          </w:p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2.6 Прилагане на единна и целенасочена комуникационна и медийна политика в областта на БДП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2.7 Отбелязване на 29 юни - денят на безопасността на движение по пътищата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2.8 Отбелязване на Европейската седмица на мобилността, Международния ден за безопасност на движението по пътищата,   Европейския ден без жертви на пътя/EDWARD, Световния ден за възпоменание на жертвите от пътнотранспортни произшествия и др.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7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2.9 Рутинно и системно прилагане на комплекс от мерки по БДП спрямо работещите в Общината за предпазването им от ПТП при взаимодействие с пътната система /съгласно разработената от ДАБДП стандартизирана система от мерки/</w:t>
            </w:r>
          </w:p>
          <w:p w:rsidR="008F2D75" w:rsidRPr="00AF548F" w:rsidRDefault="008F2D75" w:rsidP="008F2D75">
            <w:pPr>
              <w:ind w:right="17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AF548F" w:rsidRPr="00AF548F" w:rsidTr="00E8431B">
        <w:tc>
          <w:tcPr>
            <w:tcW w:w="13041" w:type="dxa"/>
            <w:gridSpan w:val="2"/>
            <w:shd w:val="clear" w:color="auto" w:fill="BFBFBF" w:themeFill="background1" w:themeFillShade="BF"/>
          </w:tcPr>
          <w:p w:rsidR="00AF548F" w:rsidRPr="00AF548F" w:rsidRDefault="00AF548F" w:rsidP="00AF548F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AF548F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ТЕМАТИЧНО НАПРАВЛЕНИЕ 4:</w:t>
            </w: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 xml:space="preserve"> </w:t>
            </w:r>
            <w:r w:rsidRPr="00AF548F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 xml:space="preserve">ЩАДЯЩА </w:t>
            </w:r>
            <w:r w:rsidRPr="00AF548F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ПЪТНА ИНФРАСТРУКТУРА</w:t>
            </w:r>
          </w:p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 Извършване на текущ анализ и оценка на организацията на дейностите по управление на пътната инфраструктура в общинската администрация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AA267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4.2 Прилагане на методика за планиране и управление на дейностите по общински пътища и улици, разработена от ДАБДП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4.3 Координация и взаимодействие между стопаните на пътища (общини и ОПУ) с 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ОДМВР, с цел съвместни действия по подобряване безопасността на пътната инфраструктура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tabs>
                <w:tab w:val="left" w:pos="900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4.4</w:t>
            </w:r>
            <w:r w:rsidRPr="00E8431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. </w:t>
            </w:r>
            <w:r w:rsidRPr="00E8431B"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  <w:t xml:space="preserve">Предоставяне на данни от Общината за поддържане на ГИС-базиран масив от информация, свързана с общинската и улична пътна мрежа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tabs>
                <w:tab w:val="left" w:pos="900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4.5 Докладване и анализ на информация, свързана с пътната безопасност, на заседанията на ОКБДП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tabs>
                <w:tab w:val="left" w:pos="900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4.6 Приоритизиране на целенасочени инвестиции в пътни участъци с най-висока концентрация на ПТП и/или с най-висок потенциал за намаляване на риска от ПТП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AA267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4.7 Информиране на водачите за пътни участъци с висока концентрация на ПТП с всички възможни комуникационни средства и средства за визуализация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AA267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4.8 Прилагане на насоките на Европейската комисия за разработване на планове за устойчива градска мобилност с приоритет в областните градове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4.9 Прилагане на процедури за управление на пътната безопасност в границите на населените места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AA267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4.10 </w:t>
            </w:r>
            <w:r w:rsidR="0010025C" w:rsidRPr="001002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Изпълнение/актуализация на генерални планове за организация на движението в населените места (съгласно Наредба № 1 от 17 януари 2001 г. за организиране на движението по пътищата, издадена от министъра на регионалното развитие и благоустройството)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4.11 Прилагане на ефективен контрол при управление на договорите за проектиране и строителство, и поддържане на общинската/улична пътна инфраструктура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4.12 Интегриране на научните изследвания и добрите практики в областта на пътната безопасност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AA267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4.13 </w:t>
            </w:r>
            <w:r w:rsidR="00D179D9" w:rsidRPr="00D179D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Извършване на цялостна оценка на транспортно-експлоатационното състояние на пътната мрежа като база за подготовка на инвестиционната програма в частта на пътната инфраструктура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tabs>
                <w:tab w:val="left" w:pos="1104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4.14 Засилване на контрола по изпълнението на договорите за пътно поддържане през зимния сезон (ноември-март)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ab/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4.15 Координация с ОПУ във връзка с планиране и изпълнение на мерките за развитие на републиканската пътна инфраструктура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4.16 Извършване на огледи на състоянието на пътната инфраструктура, преди настъпване на летния сезон и началото на учебната година, преди началото и след края на зимния сезон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4.17 Текуща актуализация на организацията на движение чрез системи за контрол и управление на трафика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4.18 Установяване на конкретни участъци с несъответстваща/повредена сигнализация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4.19 Прилагане на решения с ясно разпознаваема от водачите хоризонтална маркировка и вертикална сигнализация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rPr>
                <w:rFonts w:ascii="Times New Roman" w:hAnsi="Times New Roman"/>
                <w:b/>
                <w:szCs w:val="24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4.20 Обследване на рискови пътни участъци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4.21 Обезпечаване на идентифицираните рискови участъци с технически средства за контрол, съгласувано със службите на ОДМВР</w:t>
            </w:r>
          </w:p>
          <w:p w:rsidR="008F2D75" w:rsidRPr="00AF548F" w:rsidRDefault="008F2D75" w:rsidP="008F2D7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hd w:val="clear" w:color="auto" w:fill="FFFFFF" w:themeFill="background1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4.22 Извеждане на транзитните потоци извън населените места за успокояване на движението на входно – изходните артерии, през които преминават транзитно трасета от 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републиканската пътна мрежа, в т.ч. чрез  изграждане на околовръстни пътища</w:t>
            </w:r>
          </w:p>
          <w:p w:rsidR="008F2D75" w:rsidRPr="00AF548F" w:rsidRDefault="008F2D75" w:rsidP="008F2D75">
            <w:pPr>
              <w:shd w:val="clear" w:color="auto" w:fill="FFFFFF" w:themeFill="background1"/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8F2D75" w:rsidRPr="00AF548F" w:rsidRDefault="008F2D75" w:rsidP="008F2D75">
            <w:pPr>
              <w:shd w:val="clear" w:color="auto" w:fill="FFFFFF" w:themeFill="background1"/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/моля попълнете конкретни</w:t>
            </w:r>
            <w:r w:rsidR="00770D1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те</w:t>
            </w:r>
            <w:r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мерки</w:t>
            </w:r>
            <w:r w:rsidR="00770D1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съгласно предвижданията на областната план-програма</w:t>
            </w:r>
            <w:r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/</w:t>
            </w:r>
          </w:p>
          <w:p w:rsidR="008F2D75" w:rsidRPr="00AF548F" w:rsidRDefault="008F2D75" w:rsidP="008F2D7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  <w:r w:rsidRPr="00AF548F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lastRenderedPageBreak/>
              <w:t>4.23 Изграждане на оптимални връзки и висока степен на съответствие между различните видове транспорт</w:t>
            </w:r>
          </w:p>
          <w:p w:rsidR="008F2D75" w:rsidRPr="00AF548F" w:rsidRDefault="008F2D75" w:rsidP="008F2D7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4.24 Подкрепа за алтернативни форми на придвижване </w:t>
            </w:r>
          </w:p>
          <w:p w:rsidR="008F2D75" w:rsidRPr="00AF548F" w:rsidRDefault="008F2D75" w:rsidP="008F2D75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4.25 Развитие на обществения транспорт </w:t>
            </w:r>
          </w:p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8F2D75" w:rsidRPr="00AF548F" w:rsidRDefault="008F2D75" w:rsidP="008F2D75">
            <w:pP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/</w:t>
            </w:r>
            <w:r w:rsidR="00770D15"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моля попълнете конкретни</w:t>
            </w:r>
            <w:r w:rsidR="00770D1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те</w:t>
            </w:r>
            <w:r w:rsidR="00770D15"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мерки</w:t>
            </w:r>
            <w:r w:rsidR="00770D1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съгласно предвижданията на областната план-програма</w:t>
            </w:r>
            <w:r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/</w:t>
            </w:r>
          </w:p>
          <w:p w:rsidR="008F2D75" w:rsidRPr="00AF548F" w:rsidRDefault="008F2D75" w:rsidP="008F2D75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4.26 Използване на стандартизирани договорни условия и изисквания на възложителя към изпълнителите на строителство на пътна инфраструктура; изискване за внедрена система за управление на безопасността на движението съгласно стандарт БДС ISO 39001:2014 или еквивалентен към изпълнителите на строителство на пътна инфраструктура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4.27 Изпълнение на проектиране и строително-монтажни работи по пътната инфраструктура </w:t>
            </w:r>
          </w:p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(пътни платна, тротоари, банкети, места за паркиране, подлези и надлези, мостове, спирки на градския транспорт, междублокови пространства, крайпътни пространства и др. - въздействие върху настилки, хоризонтална маркировка и вертикална сигнализация, осветление, ограничителни системи, растителност, поставени рекламни съоръжения и крайпътни обекти, и др.)</w:t>
            </w:r>
          </w:p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8F2D75" w:rsidRPr="00AF548F" w:rsidRDefault="008F2D75" w:rsidP="008F2D75">
            <w:pP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lastRenderedPageBreak/>
              <w:t>/</w:t>
            </w:r>
            <w:r w:rsidR="00770D15"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моля попълнете конкретни</w:t>
            </w:r>
            <w:r w:rsidR="00770D1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те</w:t>
            </w:r>
            <w:r w:rsidR="00770D15"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мерки</w:t>
            </w:r>
            <w:r w:rsidR="00770D1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съгласно предвижданията на областната план-програма</w:t>
            </w:r>
            <w:r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/</w:t>
            </w:r>
          </w:p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tabs>
                <w:tab w:val="left" w:pos="1764"/>
              </w:tabs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4.28 Прилагане на мерки за ограничаване на възможностите за движение с високи скорости, в т.ч. въвеждане на 30 км/ч зони</w:t>
            </w:r>
          </w:p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8F2D75" w:rsidRPr="00AF548F" w:rsidRDefault="008F2D75" w:rsidP="008F2D75">
            <w:pP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/</w:t>
            </w:r>
            <w:r w:rsidR="00770D15"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моля попълнете конкретни</w:t>
            </w:r>
            <w:r w:rsidR="00770D1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те</w:t>
            </w:r>
            <w:r w:rsidR="00770D15"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мерки</w:t>
            </w:r>
            <w:r w:rsidR="00770D1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съгласно предвижданията на областната план-програма</w:t>
            </w:r>
            <w:r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/</w:t>
            </w:r>
          </w:p>
          <w:p w:rsidR="008F2D75" w:rsidRPr="00AF548F" w:rsidRDefault="008F2D75" w:rsidP="008F2D75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4.29 Обезпечаване и обезопасяване на пешеходното и велосипедно движение; специално обезпечаване и обезопасяване на зоните на учебни и детски заведения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4.30 Възстановяване на пътната инфраструктура след извършени инвестиционни мероприятия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tabs>
                <w:tab w:val="left" w:pos="34"/>
              </w:tabs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4.31 Освобождаване на пътното платно от спрели и паркирани автомобили по улиците в населените места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tabs>
                <w:tab w:val="left" w:pos="34"/>
              </w:tabs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4.32 Въвеждане на системи за дистанционно регулиране на трафика с оглед достъп на екипите на ЦСМП до мястото на настъпил инцидент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AF548F" w:rsidRPr="00AF548F" w:rsidTr="00E8431B">
        <w:tc>
          <w:tcPr>
            <w:tcW w:w="13041" w:type="dxa"/>
            <w:gridSpan w:val="2"/>
            <w:shd w:val="clear" w:color="auto" w:fill="BFBFBF" w:themeFill="background1" w:themeFillShade="BF"/>
          </w:tcPr>
          <w:p w:rsidR="00AF548F" w:rsidRPr="00AF548F" w:rsidRDefault="00AF548F" w:rsidP="00AF548F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</w:pPr>
            <w:r w:rsidRPr="00AF548F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>ТЕМАТИЧНО НАПРАВЛЕНИЕ 5: ПРЕВОЗН</w:t>
            </w:r>
            <w:r w:rsidRPr="00AF548F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И </w:t>
            </w:r>
            <w:r w:rsidRPr="00AF548F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>СРЕДСТВ</w:t>
            </w:r>
            <w:r w:rsidRPr="00AF548F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А</w:t>
            </w:r>
            <w:r w:rsidRPr="00AF548F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 xml:space="preserve"> В ЗАЩИТА НА ЧОВЕКА</w:t>
            </w:r>
          </w:p>
          <w:p w:rsidR="00AF548F" w:rsidRPr="00AF548F" w:rsidRDefault="00AF548F" w:rsidP="00AF548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5.1 Стимулиране употребата на безопасни и екологични автомобили за ползване от физически и юридически лица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5.2 Стимулиране употребата на безопасни, екологични и енергийно ефективни автомобили за обществен транспорт и обслужване на нуждите на общините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5.3 Създаване на условия за развитие на зарядна инфраструктура - поетапно изграждане на система от зарядни станции за електромобилите и хибридните автомобили в населените места и извън населените места 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 xml:space="preserve">5.4 Създаване на условия за изграждане на услугата споделена мобилност в големите населени места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AF548F" w:rsidRPr="00AF548F" w:rsidTr="00E8431B">
        <w:tc>
          <w:tcPr>
            <w:tcW w:w="13041" w:type="dxa"/>
            <w:gridSpan w:val="2"/>
            <w:shd w:val="clear" w:color="auto" w:fill="BFBFBF" w:themeFill="background1" w:themeFillShade="BF"/>
          </w:tcPr>
          <w:p w:rsidR="00AF548F" w:rsidRPr="00AF548F" w:rsidRDefault="00AF548F" w:rsidP="00AF548F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</w:pPr>
            <w:r w:rsidRPr="00AF548F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>ТЕМАТИЧНО НАПРАВЛЕНИЕ 6: СПАСИТЕЛНА ВЕРИГА ЗА ОПАЗВАНЕ НА ЖИВОТА</w:t>
            </w:r>
          </w:p>
          <w:p w:rsidR="00AF548F" w:rsidRPr="00AF548F" w:rsidRDefault="00AF548F" w:rsidP="00AF548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AF548F" w:rsidRPr="00AF548F" w:rsidTr="00E8431B">
        <w:tc>
          <w:tcPr>
            <w:tcW w:w="5245" w:type="dxa"/>
            <w:shd w:val="clear" w:color="auto" w:fill="FFFFFF" w:themeFill="background1"/>
          </w:tcPr>
          <w:p w:rsidR="00AF548F" w:rsidRPr="00AF548F" w:rsidRDefault="00AF548F" w:rsidP="00AF548F">
            <w:pPr>
              <w:spacing w:after="80"/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</w:pP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  <w:lang w:val="ru-RU"/>
              </w:rPr>
              <w:t xml:space="preserve">6.1 Провеждане на </w:t>
            </w:r>
            <w:r w:rsidRPr="00AF548F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съвместни областни учения за реакция при настъпило ПТП (ОДМВР, ПБЗН, ОПУ, ЦСМП, РЗИ, Областна администрация, Общини, БЧК, ООАА и доброволни формирования)</w:t>
            </w:r>
          </w:p>
          <w:p w:rsidR="00AF548F" w:rsidRPr="00AF548F" w:rsidRDefault="00AF548F" w:rsidP="00AF548F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AF548F" w:rsidRPr="00AF548F" w:rsidRDefault="00AF548F" w:rsidP="00AF548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</w:tbl>
    <w:p w:rsidR="00C91450" w:rsidRDefault="00C91450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AF548F" w:rsidRDefault="00AF548F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0C4555" w:rsidRPr="00D1289A" w:rsidRDefault="000C4555" w:rsidP="000C4555">
      <w:pPr>
        <w:rPr>
          <w:rFonts w:ascii="Verdana" w:hAnsi="Verdana"/>
          <w:b/>
          <w:color w:val="404040" w:themeColor="text1" w:themeTint="BF"/>
          <w:sz w:val="20"/>
          <w:lang w:val="bg-BG"/>
        </w:rPr>
      </w:pPr>
      <w:r w:rsidRPr="00D1289A">
        <w:rPr>
          <w:rFonts w:ascii="Verdana" w:hAnsi="Verdana"/>
          <w:b/>
          <w:color w:val="404040" w:themeColor="text1" w:themeTint="BF"/>
          <w:sz w:val="20"/>
          <w:lang w:val="bg-BG"/>
        </w:rPr>
        <w:t>Обща оценка на изпълнението</w:t>
      </w:r>
      <w:r w:rsidR="00EF6C12" w:rsidRPr="00D1289A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 на </w:t>
      </w:r>
      <w:r w:rsidR="00DC3B15" w:rsidRPr="00D1289A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общинската </w:t>
      </w:r>
      <w:r w:rsidR="00EF6C12" w:rsidRPr="00D1289A">
        <w:rPr>
          <w:rFonts w:ascii="Verdana" w:hAnsi="Verdana"/>
          <w:b/>
          <w:color w:val="404040" w:themeColor="text1" w:themeTint="BF"/>
          <w:sz w:val="20"/>
          <w:lang w:val="bg-BG"/>
        </w:rPr>
        <w:t>План-програма</w:t>
      </w:r>
      <w:r w:rsidRPr="00D1289A">
        <w:rPr>
          <w:rFonts w:ascii="Verdana" w:hAnsi="Verdana"/>
          <w:b/>
          <w:color w:val="404040" w:themeColor="text1" w:themeTint="BF"/>
          <w:sz w:val="20"/>
          <w:lang w:val="bg-BG"/>
        </w:rPr>
        <w:t>:</w:t>
      </w:r>
    </w:p>
    <w:p w:rsidR="000C4555" w:rsidRDefault="000C4555" w:rsidP="000C4555">
      <w:pPr>
        <w:rPr>
          <w:rFonts w:ascii="Verdana" w:hAnsi="Verdana"/>
          <w:sz w:val="20"/>
          <w:lang w:val="bg-BG"/>
        </w:rPr>
      </w:pPr>
      <w:r w:rsidRPr="000C4555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</w:t>
      </w:r>
      <w:r w:rsidR="00917CE0">
        <w:rPr>
          <w:rFonts w:ascii="Verdana" w:hAnsi="Verdana"/>
          <w:sz w:val="20"/>
          <w:lang w:val="bg-BG"/>
        </w:rPr>
        <w:t>……………………………………………………………</w:t>
      </w:r>
    </w:p>
    <w:p w:rsidR="00D1289A" w:rsidRPr="00542DB4" w:rsidRDefault="00D1289A" w:rsidP="00D1289A">
      <w:pPr>
        <w:shd w:val="clear" w:color="auto" w:fill="F55F41"/>
        <w:spacing w:after="0" w:line="240" w:lineRule="auto"/>
        <w:ind w:right="-35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D1289A" w:rsidRPr="00542DB4" w:rsidRDefault="00D1289A" w:rsidP="00D1289A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 xml:space="preserve">РАЗДЕЛ </w:t>
      </w:r>
      <w:r>
        <w:rPr>
          <w:rFonts w:ascii="Verdana" w:hAnsi="Verdana"/>
          <w:b/>
          <w:color w:val="FFFFFF" w:themeColor="background1"/>
          <w:sz w:val="32"/>
        </w:rPr>
        <w:t>4</w:t>
      </w:r>
    </w:p>
    <w:p w:rsidR="00D1289A" w:rsidRPr="00D1289A" w:rsidRDefault="00D1289A" w:rsidP="00D1289A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D1289A">
        <w:rPr>
          <w:rFonts w:ascii="Verdana" w:hAnsi="Verdana"/>
          <w:b/>
          <w:color w:val="FFFFFF" w:themeColor="background1"/>
          <w:sz w:val="24"/>
          <w:lang w:val="bg-BG"/>
        </w:rPr>
        <w:t>ОСНОВНИ ПРОБЛЕМИ И ПРЕПОРЪКИ КЪМ ДАБДП</w:t>
      </w:r>
    </w:p>
    <w:p w:rsidR="00D1289A" w:rsidRPr="00542DB4" w:rsidRDefault="00D1289A" w:rsidP="00D1289A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D1289A" w:rsidRDefault="00D1289A" w:rsidP="000C4555">
      <w:pPr>
        <w:rPr>
          <w:rFonts w:ascii="Verdana" w:hAnsi="Verdana"/>
          <w:i/>
          <w:sz w:val="20"/>
          <w:lang w:val="bg-BG"/>
        </w:rPr>
      </w:pPr>
    </w:p>
    <w:p w:rsidR="000C4555" w:rsidRPr="000C4555" w:rsidRDefault="000C4555" w:rsidP="000C4555">
      <w:pPr>
        <w:rPr>
          <w:rFonts w:ascii="Verdana" w:hAnsi="Verdana"/>
          <w:i/>
          <w:sz w:val="20"/>
          <w:lang w:val="bg-BG"/>
        </w:rPr>
      </w:pPr>
      <w:r w:rsidRPr="000C4555">
        <w:rPr>
          <w:rFonts w:ascii="Verdana" w:hAnsi="Verdana"/>
          <w:i/>
          <w:sz w:val="20"/>
          <w:lang w:val="bg-BG"/>
        </w:rPr>
        <w:t>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0C4555">
        <w:rPr>
          <w:rFonts w:ascii="Verdana" w:hAnsi="Verdana"/>
          <w:i/>
          <w:sz w:val="20"/>
          <w:lang w:val="bg-BG"/>
        </w:rPr>
        <w:t>……</w:t>
      </w:r>
      <w:r w:rsidR="00917CE0">
        <w:rPr>
          <w:rFonts w:ascii="Verdana" w:hAnsi="Verdana"/>
          <w:i/>
          <w:sz w:val="20"/>
          <w:lang w:val="bg-BG"/>
        </w:rPr>
        <w:t>……………………………………………………………..</w:t>
      </w:r>
    </w:p>
    <w:sectPr w:rsidR="000C4555" w:rsidRPr="000C4555" w:rsidSect="00E214A1">
      <w:footerReference w:type="default" r:id="rId9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859" w:rsidRDefault="001A4859" w:rsidP="00EF6C12">
      <w:pPr>
        <w:spacing w:after="0" w:line="240" w:lineRule="auto"/>
      </w:pPr>
      <w:r>
        <w:separator/>
      </w:r>
    </w:p>
  </w:endnote>
  <w:endnote w:type="continuationSeparator" w:id="0">
    <w:p w:rsidR="001A4859" w:rsidRDefault="001A4859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B31" w:rsidRDefault="00525B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89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25B31" w:rsidRDefault="00525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859" w:rsidRDefault="001A4859" w:rsidP="00EF6C12">
      <w:pPr>
        <w:spacing w:after="0" w:line="240" w:lineRule="auto"/>
      </w:pPr>
      <w:r>
        <w:separator/>
      </w:r>
    </w:p>
  </w:footnote>
  <w:footnote w:type="continuationSeparator" w:id="0">
    <w:p w:rsidR="001A4859" w:rsidRDefault="001A4859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03E"/>
    <w:multiLevelType w:val="hybridMultilevel"/>
    <w:tmpl w:val="866E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A2A1440"/>
    <w:multiLevelType w:val="hybridMultilevel"/>
    <w:tmpl w:val="67C6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666E4F"/>
    <w:multiLevelType w:val="hybridMultilevel"/>
    <w:tmpl w:val="814CDF26"/>
    <w:lvl w:ilvl="0" w:tplc="09B0F9B6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0328EF"/>
    <w:multiLevelType w:val="hybridMultilevel"/>
    <w:tmpl w:val="80C6B1E2"/>
    <w:lvl w:ilvl="0" w:tplc="7AD82442">
      <w:numFmt w:val="bullet"/>
      <w:lvlText w:val="–"/>
      <w:lvlJc w:val="left"/>
      <w:pPr>
        <w:ind w:left="466" w:hanging="360"/>
      </w:pPr>
      <w:rPr>
        <w:rFonts w:ascii="Verdana" w:eastAsiaTheme="minorHAnsi" w:hAnsi="Verdana" w:cstheme="minorBidi" w:hint="default"/>
      </w:rPr>
    </w:lvl>
    <w:lvl w:ilvl="1" w:tplc="DA6E29A2">
      <w:numFmt w:val="bullet"/>
      <w:lvlText w:val="-"/>
      <w:lvlJc w:val="left"/>
      <w:pPr>
        <w:ind w:left="1186" w:hanging="360"/>
      </w:pPr>
      <w:rPr>
        <w:rFonts w:ascii="Verdana" w:eastAsiaTheme="minorHAnsi" w:hAnsi="Verdana" w:cstheme="minorBid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0" w15:restartNumberingAfterBreak="0">
    <w:nsid w:val="33E81991"/>
    <w:multiLevelType w:val="hybridMultilevel"/>
    <w:tmpl w:val="7A964362"/>
    <w:lvl w:ilvl="0" w:tplc="5D9CBE90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13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5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950623"/>
    <w:multiLevelType w:val="hybridMultilevel"/>
    <w:tmpl w:val="207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18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5"/>
  </w:num>
  <w:num w:numId="9">
    <w:abstractNumId w:val="14"/>
  </w:num>
  <w:num w:numId="10">
    <w:abstractNumId w:val="5"/>
  </w:num>
  <w:num w:numId="11">
    <w:abstractNumId w:val="19"/>
  </w:num>
  <w:num w:numId="12">
    <w:abstractNumId w:val="17"/>
  </w:num>
  <w:num w:numId="13">
    <w:abstractNumId w:val="1"/>
  </w:num>
  <w:num w:numId="14">
    <w:abstractNumId w:val="18"/>
  </w:num>
  <w:num w:numId="15">
    <w:abstractNumId w:val="0"/>
  </w:num>
  <w:num w:numId="16">
    <w:abstractNumId w:val="4"/>
  </w:num>
  <w:num w:numId="17">
    <w:abstractNumId w:val="9"/>
  </w:num>
  <w:num w:numId="18">
    <w:abstractNumId w:val="10"/>
  </w:num>
  <w:num w:numId="19">
    <w:abstractNumId w:val="16"/>
  </w:num>
  <w:num w:numId="2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03C67"/>
    <w:rsid w:val="00011FA6"/>
    <w:rsid w:val="00016055"/>
    <w:rsid w:val="000400DD"/>
    <w:rsid w:val="00097699"/>
    <w:rsid w:val="000A0F78"/>
    <w:rsid w:val="000A211D"/>
    <w:rsid w:val="000A3713"/>
    <w:rsid w:val="000A5141"/>
    <w:rsid w:val="000B31E7"/>
    <w:rsid w:val="000B66E2"/>
    <w:rsid w:val="000C4555"/>
    <w:rsid w:val="000C6D58"/>
    <w:rsid w:val="000F74C5"/>
    <w:rsid w:val="0010025C"/>
    <w:rsid w:val="001127EC"/>
    <w:rsid w:val="00123748"/>
    <w:rsid w:val="00134D9B"/>
    <w:rsid w:val="00157082"/>
    <w:rsid w:val="0016493E"/>
    <w:rsid w:val="00196093"/>
    <w:rsid w:val="001A4859"/>
    <w:rsid w:val="001D31FD"/>
    <w:rsid w:val="001D560D"/>
    <w:rsid w:val="001E70BF"/>
    <w:rsid w:val="001F7DC1"/>
    <w:rsid w:val="00216A73"/>
    <w:rsid w:val="002420E4"/>
    <w:rsid w:val="0026091C"/>
    <w:rsid w:val="002626F4"/>
    <w:rsid w:val="00265E29"/>
    <w:rsid w:val="00272BB9"/>
    <w:rsid w:val="002A3A06"/>
    <w:rsid w:val="002C4F03"/>
    <w:rsid w:val="002C5093"/>
    <w:rsid w:val="002E1E00"/>
    <w:rsid w:val="002E4B65"/>
    <w:rsid w:val="00333186"/>
    <w:rsid w:val="00362E72"/>
    <w:rsid w:val="0037128F"/>
    <w:rsid w:val="003A062E"/>
    <w:rsid w:val="003B6FB4"/>
    <w:rsid w:val="003D3593"/>
    <w:rsid w:val="003E256C"/>
    <w:rsid w:val="003E2A04"/>
    <w:rsid w:val="003E5E42"/>
    <w:rsid w:val="00400067"/>
    <w:rsid w:val="00416486"/>
    <w:rsid w:val="004277C8"/>
    <w:rsid w:val="0049768E"/>
    <w:rsid w:val="004D1F9C"/>
    <w:rsid w:val="004D595B"/>
    <w:rsid w:val="004E0A0D"/>
    <w:rsid w:val="004F3D08"/>
    <w:rsid w:val="005177B4"/>
    <w:rsid w:val="00525B31"/>
    <w:rsid w:val="00533C8D"/>
    <w:rsid w:val="00537E40"/>
    <w:rsid w:val="00542DB4"/>
    <w:rsid w:val="00561115"/>
    <w:rsid w:val="00570B28"/>
    <w:rsid w:val="00571098"/>
    <w:rsid w:val="005736B0"/>
    <w:rsid w:val="00574B12"/>
    <w:rsid w:val="0058262F"/>
    <w:rsid w:val="00594A0D"/>
    <w:rsid w:val="005D54E1"/>
    <w:rsid w:val="005E019E"/>
    <w:rsid w:val="005E3690"/>
    <w:rsid w:val="005E3A41"/>
    <w:rsid w:val="005F2573"/>
    <w:rsid w:val="00610D2E"/>
    <w:rsid w:val="006433D9"/>
    <w:rsid w:val="006447AB"/>
    <w:rsid w:val="00654AF6"/>
    <w:rsid w:val="00682BDC"/>
    <w:rsid w:val="00694949"/>
    <w:rsid w:val="006D226D"/>
    <w:rsid w:val="007146B0"/>
    <w:rsid w:val="00746246"/>
    <w:rsid w:val="00770D15"/>
    <w:rsid w:val="00783454"/>
    <w:rsid w:val="0078435A"/>
    <w:rsid w:val="00795DC1"/>
    <w:rsid w:val="007C50F0"/>
    <w:rsid w:val="007C6355"/>
    <w:rsid w:val="007E104F"/>
    <w:rsid w:val="00821484"/>
    <w:rsid w:val="0083316B"/>
    <w:rsid w:val="00846298"/>
    <w:rsid w:val="00855E14"/>
    <w:rsid w:val="00895A66"/>
    <w:rsid w:val="008A6CEA"/>
    <w:rsid w:val="008F2D75"/>
    <w:rsid w:val="0090061D"/>
    <w:rsid w:val="0091071C"/>
    <w:rsid w:val="00917CE0"/>
    <w:rsid w:val="00937F0E"/>
    <w:rsid w:val="009D601F"/>
    <w:rsid w:val="009E11A9"/>
    <w:rsid w:val="009E28D9"/>
    <w:rsid w:val="009E28E9"/>
    <w:rsid w:val="009E3C26"/>
    <w:rsid w:val="009E434A"/>
    <w:rsid w:val="009F349A"/>
    <w:rsid w:val="00A15330"/>
    <w:rsid w:val="00A22BCC"/>
    <w:rsid w:val="00A65441"/>
    <w:rsid w:val="00A6658E"/>
    <w:rsid w:val="00A67895"/>
    <w:rsid w:val="00A67BCB"/>
    <w:rsid w:val="00A70B85"/>
    <w:rsid w:val="00A800FD"/>
    <w:rsid w:val="00AA2670"/>
    <w:rsid w:val="00AE2819"/>
    <w:rsid w:val="00AF548F"/>
    <w:rsid w:val="00B10EF6"/>
    <w:rsid w:val="00B17988"/>
    <w:rsid w:val="00B22592"/>
    <w:rsid w:val="00B27737"/>
    <w:rsid w:val="00B46CBE"/>
    <w:rsid w:val="00B51C78"/>
    <w:rsid w:val="00B71626"/>
    <w:rsid w:val="00B741DD"/>
    <w:rsid w:val="00BA5235"/>
    <w:rsid w:val="00BE29BC"/>
    <w:rsid w:val="00C21127"/>
    <w:rsid w:val="00C27950"/>
    <w:rsid w:val="00C53324"/>
    <w:rsid w:val="00C758AB"/>
    <w:rsid w:val="00C86427"/>
    <w:rsid w:val="00C91450"/>
    <w:rsid w:val="00CA3121"/>
    <w:rsid w:val="00CF08F8"/>
    <w:rsid w:val="00CF4EE0"/>
    <w:rsid w:val="00D1289A"/>
    <w:rsid w:val="00D179D9"/>
    <w:rsid w:val="00D24C56"/>
    <w:rsid w:val="00DA449E"/>
    <w:rsid w:val="00DC3B15"/>
    <w:rsid w:val="00DC7C63"/>
    <w:rsid w:val="00DF643C"/>
    <w:rsid w:val="00E136A6"/>
    <w:rsid w:val="00E16F4B"/>
    <w:rsid w:val="00E214A1"/>
    <w:rsid w:val="00E44F01"/>
    <w:rsid w:val="00E8431B"/>
    <w:rsid w:val="00EA3C9D"/>
    <w:rsid w:val="00EC5F1C"/>
    <w:rsid w:val="00EF6C12"/>
    <w:rsid w:val="00F114EA"/>
    <w:rsid w:val="00F26AAE"/>
    <w:rsid w:val="00F43389"/>
    <w:rsid w:val="00F57116"/>
    <w:rsid w:val="00F601EA"/>
    <w:rsid w:val="00F611A1"/>
    <w:rsid w:val="00F67173"/>
    <w:rsid w:val="00F95A98"/>
    <w:rsid w:val="00FA104F"/>
    <w:rsid w:val="00FD551F"/>
    <w:rsid w:val="00FD7262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8E70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4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FDA38-1C73-4BC3-8055-527F18B6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12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146</cp:revision>
  <dcterms:created xsi:type="dcterms:W3CDTF">2020-01-17T10:02:00Z</dcterms:created>
  <dcterms:modified xsi:type="dcterms:W3CDTF">2020-08-07T13:11:00Z</dcterms:modified>
</cp:coreProperties>
</file>