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086E53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  <w:t>2</w:t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086E53" w:rsidRPr="00542DB4" w:rsidRDefault="00086E53" w:rsidP="00A47DAD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086E53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6146649B" wp14:editId="648E6E9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086E53" w:rsidRPr="00542DB4" w:rsidRDefault="00086E53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2E598F" w:rsidRDefault="002E598F" w:rsidP="003B6FB4">
      <w:pPr>
        <w:pStyle w:val="NoSpacing"/>
        <w:spacing w:after="0"/>
        <w:rPr>
          <w:smallCaps/>
          <w:szCs w:val="20"/>
          <w:lang w:val="en-US"/>
        </w:rPr>
      </w:pPr>
    </w:p>
    <w:p w:rsidR="00086E53" w:rsidRDefault="00086E53" w:rsidP="003B6FB4">
      <w:pPr>
        <w:pStyle w:val="NoSpacing"/>
        <w:spacing w:after="0"/>
        <w:rPr>
          <w:smallCaps/>
          <w:szCs w:val="20"/>
          <w:lang w:val="en-US"/>
        </w:rPr>
      </w:pP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>ИНФОРМАЦИЯ ОТ ОДМВР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6433D9" w:rsidRDefault="006433D9" w:rsidP="004E0A0D">
      <w:pPr>
        <w:pStyle w:val="NoSpacing"/>
        <w:spacing w:after="0"/>
        <w:rPr>
          <w:smallCaps/>
          <w:szCs w:val="20"/>
          <w:lang w:val="en-US"/>
        </w:rPr>
      </w:pPr>
    </w:p>
    <w:p w:rsidR="00654AF6" w:rsidRDefault="00F11C7D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представя </w:t>
      </w:r>
      <w:r w:rsidR="0049768E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</w:t>
      </w:r>
      <w:r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ОДМВР</w:t>
      </w:r>
      <w:r w:rsidR="0049768E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секретариата на ОКБДП в срок до </w:t>
      </w:r>
      <w:r w:rsidR="003E256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15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3E256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годината, </w:t>
      </w:r>
      <w:r w:rsidR="00682BD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следваща отчетната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година, с цел включване на </w:t>
      </w:r>
      <w:r w:rsidR="00682BD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един</w:t>
      </w:r>
      <w:r w:rsidR="00682BD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ен о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бласт</w:t>
      </w:r>
      <w:r w:rsidR="00682BD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</w:t>
      </w:r>
      <w:r w:rsidR="00682BDC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доклад</w:t>
      </w:r>
      <w:r w:rsidR="00EF6C12" w:rsidRPr="00086E53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Default="00086E53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086E53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086E53" w:rsidRPr="00086E53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 xml:space="preserve">ПЪТНОТРАНСПОРТЕН ТРАВМАТИЗЪМ </w:t>
      </w:r>
    </w:p>
    <w:p w:rsidR="00086E53" w:rsidRPr="00542DB4" w:rsidRDefault="00086E53" w:rsidP="00086E5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86E53" w:rsidRDefault="00086E53" w:rsidP="00072001">
      <w:pPr>
        <w:ind w:left="360" w:right="182"/>
        <w:contextualSpacing/>
        <w:rPr>
          <w:rFonts w:ascii="Verdana" w:hAnsi="Verdana"/>
          <w:b/>
          <w:sz w:val="20"/>
          <w:lang w:val="bg-BG"/>
        </w:rPr>
      </w:pPr>
    </w:p>
    <w:p w:rsidR="00072001" w:rsidRPr="00086E53" w:rsidRDefault="00072001" w:rsidP="00072001">
      <w:pPr>
        <w:ind w:left="360" w:right="182"/>
        <w:contextualSpacing/>
        <w:rPr>
          <w:rFonts w:ascii="Verdana" w:hAnsi="Verdana"/>
          <w:color w:val="404040" w:themeColor="text1" w:themeTint="BF"/>
          <w:sz w:val="20"/>
          <w:lang w:val="bg-BG"/>
        </w:rPr>
      </w:pPr>
      <w:r w:rsidRPr="00086E53">
        <w:rPr>
          <w:rFonts w:ascii="Verdana" w:hAnsi="Verdana"/>
          <w:b/>
          <w:color w:val="404040" w:themeColor="text1" w:themeTint="BF"/>
          <w:sz w:val="20"/>
          <w:lang w:val="bg-BG"/>
        </w:rPr>
        <w:t>1</w:t>
      </w:r>
      <w:r w:rsidRPr="00086E53">
        <w:rPr>
          <w:rFonts w:ascii="Verdana" w:hAnsi="Verdana"/>
          <w:b/>
          <w:color w:val="404040" w:themeColor="text1" w:themeTint="BF"/>
          <w:sz w:val="20"/>
        </w:rPr>
        <w:t>.</w:t>
      </w:r>
      <w:r w:rsidRPr="00086E53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Статистика на ниво ОБЛАСТ </w:t>
      </w:r>
    </w:p>
    <w:p w:rsidR="00072001" w:rsidRPr="00072001" w:rsidRDefault="00072001" w:rsidP="00072001">
      <w:pPr>
        <w:ind w:left="426" w:right="182"/>
        <w:rPr>
          <w:rFonts w:ascii="Verdana" w:hAnsi="Verdana"/>
          <w:i/>
          <w:sz w:val="8"/>
          <w:szCs w:val="8"/>
          <w:lang w:val="bg-BG"/>
        </w:rPr>
      </w:pPr>
    </w:p>
    <w:tbl>
      <w:tblPr>
        <w:tblStyle w:val="TableGrid4"/>
        <w:tblW w:w="13462" w:type="dxa"/>
        <w:tblLook w:val="04A0" w:firstRow="1" w:lastRow="0" w:firstColumn="1" w:lastColumn="0" w:noHBand="0" w:noVBand="1"/>
      </w:tblPr>
      <w:tblGrid>
        <w:gridCol w:w="2782"/>
        <w:gridCol w:w="10680"/>
      </w:tblGrid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пострадали, посетени от органите на МВР:</w:t>
            </w:r>
          </w:p>
          <w:p w:rsidR="00072001" w:rsidRPr="00086E53" w:rsidRDefault="00072001" w:rsidP="008C779B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8"/>
                <w:szCs w:val="8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Загинали: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Тежко ранени: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Тенденция спрямо предходната година (спад/покачване по показателите ПТП, загинали и тежко ранени)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Анализ на тенденциите 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 и тежко ранени по вид на участниците в ПТП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ПТП, загинали и тежко ранени, разпределени по общини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Причини за ПТП</w:t>
            </w:r>
          </w:p>
          <w:p w:rsidR="00072001" w:rsidRPr="00086E53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по вид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ПТП с деца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възрастни  над 65 г.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Година на първа регистрация на превозни средства, участвали в ПТП със загинали и тежко ранени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Участъци с концентрация на ПТП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72001" w:rsidTr="00086E53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Издадени писмени предупреждения, сигнални писма и разпореждания </w:t>
            </w: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A1315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Предприети дейности по отстраняване на несъответствията 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общини</w:t>
            </w:r>
            <w:r w:rsidRPr="00086E5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ОПУ</w:t>
            </w:r>
            <w:r w:rsidRPr="00086E5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86E53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фирми, поддържащи пътя</w:t>
            </w:r>
            <w:r w:rsidRPr="00086E5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86E53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072001" w:rsidRDefault="00072001" w:rsidP="00072001">
      <w:pPr>
        <w:ind w:left="426" w:right="182"/>
        <w:rPr>
          <w:rFonts w:ascii="Verdana" w:hAnsi="Verdana"/>
          <w:i/>
          <w:sz w:val="20"/>
          <w:lang w:val="bg-BG"/>
        </w:rPr>
      </w:pPr>
    </w:p>
    <w:p w:rsidR="00072001" w:rsidRPr="000B3237" w:rsidRDefault="00072001" w:rsidP="00072001">
      <w:pPr>
        <w:ind w:left="360" w:right="182"/>
        <w:contextualSpacing/>
        <w:rPr>
          <w:rFonts w:ascii="Verdana" w:hAnsi="Verdana"/>
          <w:color w:val="404040" w:themeColor="text1" w:themeTint="BF"/>
          <w:sz w:val="20"/>
          <w:lang w:val="bg-BG"/>
        </w:rPr>
      </w:pPr>
      <w:r w:rsidRPr="000B3237">
        <w:rPr>
          <w:rFonts w:ascii="Verdana" w:hAnsi="Verdana"/>
          <w:b/>
          <w:color w:val="404040" w:themeColor="text1" w:themeTint="BF"/>
          <w:sz w:val="20"/>
          <w:lang w:val="bg-BG"/>
        </w:rPr>
        <w:t>2</w:t>
      </w:r>
      <w:r w:rsidRPr="000B3237">
        <w:rPr>
          <w:rFonts w:ascii="Verdana" w:hAnsi="Verdana"/>
          <w:b/>
          <w:color w:val="404040" w:themeColor="text1" w:themeTint="BF"/>
          <w:sz w:val="20"/>
        </w:rPr>
        <w:t>.</w:t>
      </w:r>
      <w:r w:rsidRPr="000B3237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Статистика на ниво ОБЩИНА </w:t>
      </w:r>
    </w:p>
    <w:p w:rsidR="00072001" w:rsidRPr="000B3237" w:rsidRDefault="00072001" w:rsidP="00072001">
      <w:pPr>
        <w:ind w:left="426" w:right="182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B3237">
        <w:rPr>
          <w:rFonts w:ascii="Verdana" w:hAnsi="Verdana"/>
          <w:i/>
          <w:color w:val="404040" w:themeColor="text1" w:themeTint="BF"/>
          <w:sz w:val="20"/>
        </w:rPr>
        <w:t>/</w:t>
      </w:r>
      <w:r w:rsidRPr="000B3237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попълва се </w:t>
      </w:r>
      <w:r w:rsidR="00562976" w:rsidRPr="000B3237">
        <w:rPr>
          <w:rFonts w:ascii="Verdana" w:hAnsi="Verdana"/>
          <w:i/>
          <w:color w:val="404040" w:themeColor="text1" w:themeTint="BF"/>
          <w:sz w:val="20"/>
          <w:lang w:val="bg-BG"/>
        </w:rPr>
        <w:t>за</w:t>
      </w:r>
      <w:r w:rsidRPr="000B3237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Pr="000B3237">
        <w:rPr>
          <w:rFonts w:ascii="Verdana" w:hAnsi="Verdana"/>
          <w:b/>
          <w:i/>
          <w:color w:val="404040" w:themeColor="text1" w:themeTint="BF"/>
          <w:sz w:val="20"/>
          <w:u w:val="single"/>
          <w:lang w:val="bg-BG"/>
        </w:rPr>
        <w:t>ВСЯКА</w:t>
      </w:r>
      <w:r w:rsidRPr="000B3237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от общините на територията на областта/</w:t>
      </w:r>
    </w:p>
    <w:p w:rsidR="00072001" w:rsidRPr="000B3237" w:rsidRDefault="00072001" w:rsidP="00072001">
      <w:pPr>
        <w:ind w:left="426" w:right="182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B3237">
        <w:rPr>
          <w:rFonts w:ascii="Verdana" w:hAnsi="Verdana"/>
          <w:b/>
          <w:color w:val="404040" w:themeColor="text1" w:themeTint="BF"/>
          <w:sz w:val="20"/>
          <w:lang w:val="bg-BG"/>
        </w:rPr>
        <w:t>Община</w:t>
      </w:r>
      <w:r w:rsidRPr="000B3237">
        <w:rPr>
          <w:rFonts w:ascii="Verdana" w:hAnsi="Verdana"/>
          <w:color w:val="404040" w:themeColor="text1" w:themeTint="BF"/>
          <w:sz w:val="20"/>
          <w:lang w:val="bg-BG"/>
        </w:rPr>
        <w:t>:</w:t>
      </w:r>
      <w:r w:rsidRPr="000B3237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………………………………………….</w:t>
      </w: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пострадали, посетени от органите на МВР:</w:t>
            </w:r>
          </w:p>
          <w:p w:rsidR="00072001" w:rsidRPr="000B3237" w:rsidRDefault="00072001" w:rsidP="008C779B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8"/>
                <w:szCs w:val="8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Загинали: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Тежко ранени: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Тенденция спрямо предходната година (спад/покачване по показателите ПТП, загинали и тежко ранени)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Анализ на тенденциите 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 и тежко ранени по вид на участниците в ПТП</w:t>
            </w:r>
          </w:p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ПТП, загинали и тежко ранени, разпределени по общини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Причини за ПТП</w:t>
            </w:r>
          </w:p>
          <w:p w:rsidR="00072001" w:rsidRPr="000B3237" w:rsidRDefault="00072001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по вид</w:t>
            </w:r>
          </w:p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деца</w:t>
            </w:r>
          </w:p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възрастни  над 65 г.</w:t>
            </w:r>
          </w:p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  <w:tr w:rsidR="000B3237" w:rsidRPr="000B3237" w:rsidTr="000B3237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Участъци с концентрация на ПТП</w:t>
            </w:r>
          </w:p>
          <w:p w:rsidR="00072001" w:rsidRPr="000B3237" w:rsidRDefault="00072001" w:rsidP="008C779B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01" w:rsidRPr="000B3237" w:rsidRDefault="00072001" w:rsidP="008C779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072001" w:rsidRDefault="00072001" w:rsidP="000C4555">
      <w:pPr>
        <w:rPr>
          <w:rFonts w:ascii="Verdana" w:hAnsi="Verdana"/>
          <w:i/>
          <w:color w:val="404040" w:themeColor="text1" w:themeTint="BF"/>
          <w:szCs w:val="24"/>
          <w:lang w:val="bg-BG"/>
        </w:rPr>
      </w:pPr>
    </w:p>
    <w:p w:rsidR="000B3237" w:rsidRDefault="000B3237" w:rsidP="000C4555">
      <w:pPr>
        <w:rPr>
          <w:rFonts w:ascii="Verdana" w:hAnsi="Verdana"/>
          <w:i/>
          <w:color w:val="404040" w:themeColor="text1" w:themeTint="BF"/>
          <w:szCs w:val="24"/>
          <w:lang w:val="bg-BG"/>
        </w:rPr>
      </w:pPr>
    </w:p>
    <w:p w:rsidR="000B3237" w:rsidRPr="00542DB4" w:rsidRDefault="000B3237" w:rsidP="000B3237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0B3237" w:rsidRDefault="000B3237" w:rsidP="000B323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2</w:t>
      </w:r>
    </w:p>
    <w:p w:rsidR="000B3237" w:rsidRDefault="000B3237" w:rsidP="000B323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0B3237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ОТ ОДМВР НА ОБЛАСТНАТА ПЛАН-ПРОГРАМА</w:t>
      </w: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ПО БДП</w:t>
      </w:r>
    </w:p>
    <w:p w:rsidR="000B3237" w:rsidRPr="00542DB4" w:rsidRDefault="000B3237" w:rsidP="000B323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B3237" w:rsidRPr="000B3237" w:rsidRDefault="000B3237" w:rsidP="000C4555">
      <w:pPr>
        <w:rPr>
          <w:rFonts w:ascii="Verdana" w:hAnsi="Verdana"/>
          <w:i/>
          <w:color w:val="404040" w:themeColor="text1" w:themeTint="BF"/>
          <w:sz w:val="8"/>
          <w:szCs w:val="8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42"/>
        <w:gridCol w:w="6380"/>
      </w:tblGrid>
      <w:tr w:rsidR="00673238" w:rsidRPr="009A0221" w:rsidTr="000B323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73238" w:rsidRPr="000B3237" w:rsidRDefault="00673238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  <w:p w:rsidR="00673238" w:rsidRPr="000B3237" w:rsidRDefault="00673238" w:rsidP="008C779B">
            <w:pPr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673238" w:rsidRPr="000B3237" w:rsidRDefault="00673238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73238" w:rsidRPr="000B3237" w:rsidRDefault="00673238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Отговорник</w:t>
            </w:r>
          </w:p>
          <w:p w:rsidR="00673238" w:rsidRPr="000B3237" w:rsidRDefault="00673238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673238" w:rsidRPr="000B3237" w:rsidRDefault="00673238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73238" w:rsidRPr="000B3237" w:rsidRDefault="00673238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0B3237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Докладване на изпълнението на мярката</w:t>
            </w:r>
            <w:r w:rsidRPr="000B3237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 xml:space="preserve">                   </w:t>
            </w:r>
          </w:p>
          <w:p w:rsidR="00673238" w:rsidRPr="000B3237" w:rsidRDefault="00673238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0B3237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>/моля опишете конкретика/</w:t>
            </w:r>
          </w:p>
          <w:p w:rsidR="00673238" w:rsidRPr="000B3237" w:rsidRDefault="00673238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2.4 Провеждане на кампании в областта на БДП, насочени към деца и ученици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2.6 Организиране и провеждане на превантивни кампании за водачите на ППС с акцент върху превишената/несъобразена скорост, шофирането след употреба на алкохол, наркотични вещества и техните аналози, ползване на предпазни средства, техническата изправност на МПС, 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2.7 Специализирани мерки за рискови групи водачи: млади водачи, водачи с регистрирани нарушения, водачи на възраст над 65 г.</w:t>
            </w:r>
          </w:p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2.9 Провеждане на единна и целенасочена комуникационна и медийна политика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2.10 Разработване и изпълнение на тематични програми за информираност на отделните целеви групи от населението; организиране и провеждане на национални, регионални и местни инициативи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2.11 Отбелязване на 29 юни – денят на безопасността на движение по пътищата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2.12 Отбелязване на Европейската седмица на мобилността, Международния ден за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ОКБДП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2.13 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673238" w:rsidRPr="006D1AF5" w:rsidRDefault="00673238" w:rsidP="008C779B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3.1 Провеждане на обучения на тема реакция при настъпило ПТП и оказване на първа помощ на пострадали; оборудване на автомобилите с пакети за оказване на първа помощ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 Анализ на травматизма по места и часови интервали с цел засилване на контролната дейност в определени участъци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3 Подобряване информираността на широката общественост за резултатите от контролната и аналитичната дейност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0C037C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4 Провеждане на специализирани операции след направен анализ на пътнотранспортната обстановка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Default="00673238" w:rsidP="008C779B"/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4.7 Информиране на водачите за пътни участъци с висока концентрация на ПТП чрез използване на комуникационни канали и средства за визуализация</w:t>
            </w:r>
          </w:p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Default="00673238" w:rsidP="008C779B"/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55650A" w:rsidRDefault="00673238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4.19 Актуализация на организацията на движение на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55650A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673238" w:rsidRPr="0055650A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673238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5650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673238" w:rsidRPr="0055650A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73238" w:rsidRDefault="00673238" w:rsidP="008C779B"/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4.21 Обозначаване, обезопасяване и проследимост на места с концентрация на ПТП по 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673238" w:rsidRDefault="00673238" w:rsidP="008C779B"/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4.30 Обезпечаване на идентифицираните рискови участъци с технически средства за контрол, съгласувани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673238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673238" w:rsidRPr="006D1AF5" w:rsidRDefault="00673238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73238" w:rsidRDefault="00673238" w:rsidP="008C779B"/>
        </w:tc>
      </w:tr>
      <w:tr w:rsidR="00673238" w:rsidRPr="006D1AF5" w:rsidTr="000B3237">
        <w:tc>
          <w:tcPr>
            <w:tcW w:w="5245" w:type="dxa"/>
            <w:shd w:val="clear" w:color="auto" w:fill="FFFFFF" w:themeFill="background1"/>
          </w:tcPr>
          <w:p w:rsidR="00673238" w:rsidRPr="006D1AF5" w:rsidRDefault="00673238" w:rsidP="008C779B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Провеждане на </w:t>
            </w:r>
            <w:r w:rsidRPr="006D1AF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  <w:p w:rsidR="00673238" w:rsidRPr="006D1AF5" w:rsidRDefault="00673238" w:rsidP="008C779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73238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4270EE" w:rsidRPr="006D1AF5" w:rsidRDefault="004270EE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73238" w:rsidRPr="006D1AF5" w:rsidRDefault="00673238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437203" w:rsidRPr="00542DB4" w:rsidRDefault="00437203" w:rsidP="00437203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437203" w:rsidRDefault="00437203" w:rsidP="0043720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3</w:t>
      </w:r>
    </w:p>
    <w:p w:rsidR="00437203" w:rsidRDefault="00437203" w:rsidP="0043720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437203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437203" w:rsidRPr="00542DB4" w:rsidRDefault="00437203" w:rsidP="00437203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2A53E6" w:rsidRDefault="002A53E6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2A53E6" w:rsidRPr="00C4130F" w:rsidRDefault="002A53E6" w:rsidP="002A53E6">
      <w:pPr>
        <w:rPr>
          <w:rFonts w:ascii="Verdana" w:hAnsi="Verdana"/>
          <w:sz w:val="20"/>
          <w:lang w:val="bg-BG"/>
        </w:rPr>
      </w:pPr>
      <w:bookmarkStart w:id="0" w:name="_GoBack"/>
      <w:bookmarkEnd w:id="0"/>
      <w:r w:rsidRPr="00C4130F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C4130F" w:rsidRPr="00C4130F">
        <w:rPr>
          <w:rFonts w:ascii="Verdana" w:hAnsi="Verdana"/>
          <w:sz w:val="20"/>
          <w:lang w:val="bg-BG"/>
        </w:rPr>
        <w:t>……..</w:t>
      </w:r>
    </w:p>
    <w:p w:rsidR="00AF548F" w:rsidRDefault="00AF548F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sectPr w:rsidR="00AF548F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E8" w:rsidRDefault="004F21E8" w:rsidP="00EF6C12">
      <w:pPr>
        <w:spacing w:after="0" w:line="240" w:lineRule="auto"/>
      </w:pPr>
      <w:r>
        <w:separator/>
      </w:r>
    </w:p>
  </w:endnote>
  <w:endnote w:type="continuationSeparator" w:id="0">
    <w:p w:rsidR="004F21E8" w:rsidRDefault="004F21E8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3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E8" w:rsidRDefault="004F21E8" w:rsidP="00EF6C12">
      <w:pPr>
        <w:spacing w:after="0" w:line="240" w:lineRule="auto"/>
      </w:pPr>
      <w:r>
        <w:separator/>
      </w:r>
    </w:p>
  </w:footnote>
  <w:footnote w:type="continuationSeparator" w:id="0">
    <w:p w:rsidR="004F21E8" w:rsidRDefault="004F21E8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72001"/>
    <w:rsid w:val="00086E53"/>
    <w:rsid w:val="00087EBB"/>
    <w:rsid w:val="00097699"/>
    <w:rsid w:val="000A0F78"/>
    <w:rsid w:val="000A211D"/>
    <w:rsid w:val="000A3713"/>
    <w:rsid w:val="000A5141"/>
    <w:rsid w:val="000B31E7"/>
    <w:rsid w:val="000B3237"/>
    <w:rsid w:val="000B66E2"/>
    <w:rsid w:val="000C037C"/>
    <w:rsid w:val="000C4555"/>
    <w:rsid w:val="000C6D58"/>
    <w:rsid w:val="001127EC"/>
    <w:rsid w:val="00123748"/>
    <w:rsid w:val="0016493E"/>
    <w:rsid w:val="00196093"/>
    <w:rsid w:val="001D31FD"/>
    <w:rsid w:val="001D560D"/>
    <w:rsid w:val="001E70BF"/>
    <w:rsid w:val="001F7D82"/>
    <w:rsid w:val="001F7DC1"/>
    <w:rsid w:val="002144F6"/>
    <w:rsid w:val="002420E4"/>
    <w:rsid w:val="0026091C"/>
    <w:rsid w:val="002626F4"/>
    <w:rsid w:val="00265E29"/>
    <w:rsid w:val="00272BB9"/>
    <w:rsid w:val="002A3A06"/>
    <w:rsid w:val="002A53E6"/>
    <w:rsid w:val="002C4F03"/>
    <w:rsid w:val="002C5093"/>
    <w:rsid w:val="002E1E00"/>
    <w:rsid w:val="002E4B65"/>
    <w:rsid w:val="002E598F"/>
    <w:rsid w:val="00333186"/>
    <w:rsid w:val="00362E72"/>
    <w:rsid w:val="00371EEC"/>
    <w:rsid w:val="003A062E"/>
    <w:rsid w:val="003B6FB4"/>
    <w:rsid w:val="003D3593"/>
    <w:rsid w:val="003E256C"/>
    <w:rsid w:val="003E2A04"/>
    <w:rsid w:val="003E5E42"/>
    <w:rsid w:val="00416486"/>
    <w:rsid w:val="004270EE"/>
    <w:rsid w:val="004277C8"/>
    <w:rsid w:val="00437203"/>
    <w:rsid w:val="0049768E"/>
    <w:rsid w:val="004D595B"/>
    <w:rsid w:val="004E0A0D"/>
    <w:rsid w:val="004F1C37"/>
    <w:rsid w:val="004F21E8"/>
    <w:rsid w:val="004F3D08"/>
    <w:rsid w:val="005177B4"/>
    <w:rsid w:val="00525B31"/>
    <w:rsid w:val="00533C8D"/>
    <w:rsid w:val="00537E40"/>
    <w:rsid w:val="00561115"/>
    <w:rsid w:val="00562976"/>
    <w:rsid w:val="00570646"/>
    <w:rsid w:val="00570B28"/>
    <w:rsid w:val="005736B0"/>
    <w:rsid w:val="00574B12"/>
    <w:rsid w:val="0058262F"/>
    <w:rsid w:val="00594A0D"/>
    <w:rsid w:val="005B24D2"/>
    <w:rsid w:val="005B59D7"/>
    <w:rsid w:val="005E3690"/>
    <w:rsid w:val="005E3A41"/>
    <w:rsid w:val="005F2573"/>
    <w:rsid w:val="00610D2E"/>
    <w:rsid w:val="006433D9"/>
    <w:rsid w:val="006447AB"/>
    <w:rsid w:val="0064675A"/>
    <w:rsid w:val="00654AF6"/>
    <w:rsid w:val="00673238"/>
    <w:rsid w:val="00682BDC"/>
    <w:rsid w:val="00694949"/>
    <w:rsid w:val="007146B0"/>
    <w:rsid w:val="007737FC"/>
    <w:rsid w:val="00783454"/>
    <w:rsid w:val="00795DC1"/>
    <w:rsid w:val="007C50F0"/>
    <w:rsid w:val="007C6355"/>
    <w:rsid w:val="007E104F"/>
    <w:rsid w:val="00821484"/>
    <w:rsid w:val="00846298"/>
    <w:rsid w:val="00855BB3"/>
    <w:rsid w:val="00855E14"/>
    <w:rsid w:val="00895A66"/>
    <w:rsid w:val="008A1315"/>
    <w:rsid w:val="008A6CEA"/>
    <w:rsid w:val="008F2D75"/>
    <w:rsid w:val="0090061D"/>
    <w:rsid w:val="0091071C"/>
    <w:rsid w:val="00917CE0"/>
    <w:rsid w:val="00937F0E"/>
    <w:rsid w:val="009D601F"/>
    <w:rsid w:val="009E11A9"/>
    <w:rsid w:val="009F349A"/>
    <w:rsid w:val="00A00796"/>
    <w:rsid w:val="00A15330"/>
    <w:rsid w:val="00A22BCC"/>
    <w:rsid w:val="00A41016"/>
    <w:rsid w:val="00A65441"/>
    <w:rsid w:val="00A6658E"/>
    <w:rsid w:val="00A67BCB"/>
    <w:rsid w:val="00A70B85"/>
    <w:rsid w:val="00A800FD"/>
    <w:rsid w:val="00AA2670"/>
    <w:rsid w:val="00AE2819"/>
    <w:rsid w:val="00AF548F"/>
    <w:rsid w:val="00B10EF6"/>
    <w:rsid w:val="00B1681A"/>
    <w:rsid w:val="00B17988"/>
    <w:rsid w:val="00B22592"/>
    <w:rsid w:val="00B27737"/>
    <w:rsid w:val="00B46CBE"/>
    <w:rsid w:val="00B51C78"/>
    <w:rsid w:val="00B71626"/>
    <w:rsid w:val="00B741DD"/>
    <w:rsid w:val="00BA5235"/>
    <w:rsid w:val="00C20EB8"/>
    <w:rsid w:val="00C21127"/>
    <w:rsid w:val="00C27950"/>
    <w:rsid w:val="00C4130F"/>
    <w:rsid w:val="00C42946"/>
    <w:rsid w:val="00C53324"/>
    <w:rsid w:val="00C758AB"/>
    <w:rsid w:val="00C86427"/>
    <w:rsid w:val="00C91450"/>
    <w:rsid w:val="00CA3121"/>
    <w:rsid w:val="00CF08F8"/>
    <w:rsid w:val="00CF4EE0"/>
    <w:rsid w:val="00D24C56"/>
    <w:rsid w:val="00DA449E"/>
    <w:rsid w:val="00DC3B15"/>
    <w:rsid w:val="00DC7C63"/>
    <w:rsid w:val="00DF643C"/>
    <w:rsid w:val="00E136A6"/>
    <w:rsid w:val="00E16F4B"/>
    <w:rsid w:val="00E214A1"/>
    <w:rsid w:val="00E44F01"/>
    <w:rsid w:val="00EA3C9D"/>
    <w:rsid w:val="00EC5F1C"/>
    <w:rsid w:val="00EF6C12"/>
    <w:rsid w:val="00F114EA"/>
    <w:rsid w:val="00F11C7D"/>
    <w:rsid w:val="00F26AAE"/>
    <w:rsid w:val="00F43389"/>
    <w:rsid w:val="00F57116"/>
    <w:rsid w:val="00F601EA"/>
    <w:rsid w:val="00F67173"/>
    <w:rsid w:val="00F95A98"/>
    <w:rsid w:val="00FA104F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DCD1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8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6AD6-0FF4-438D-B355-03E68D1C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138</cp:revision>
  <dcterms:created xsi:type="dcterms:W3CDTF">2020-01-17T10:02:00Z</dcterms:created>
  <dcterms:modified xsi:type="dcterms:W3CDTF">2020-08-07T13:20:00Z</dcterms:modified>
</cp:coreProperties>
</file>