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850" w:rsidRPr="00EE107E" w:rsidRDefault="00F02850" w:rsidP="00F02850">
      <w:pPr>
        <w:jc w:val="both"/>
        <w:rPr>
          <w:b/>
          <w:bCs/>
          <w:i/>
          <w:iCs/>
        </w:rPr>
      </w:pPr>
      <w:r w:rsidRPr="00EE107E">
        <w:rPr>
          <w:b/>
          <w:i/>
          <w:iCs/>
        </w:rPr>
        <w:t xml:space="preserve">Заявление по чл. </w:t>
      </w:r>
      <w:r>
        <w:rPr>
          <w:b/>
          <w:i/>
          <w:iCs/>
          <w:lang w:val="en-US"/>
        </w:rPr>
        <w:t>1</w:t>
      </w:r>
      <w:r>
        <w:rPr>
          <w:b/>
          <w:i/>
          <w:iCs/>
        </w:rPr>
        <w:t>4 от Закона за регулиране на</w:t>
      </w:r>
      <w:r w:rsidRPr="00EE107E">
        <w:rPr>
          <w:b/>
          <w:i/>
          <w:iCs/>
        </w:rPr>
        <w:t xml:space="preserve"> водоснабдителните и канализационните услуги</w:t>
      </w:r>
      <w:r>
        <w:rPr>
          <w:b/>
          <w:i/>
          <w:iCs/>
        </w:rPr>
        <w:t xml:space="preserve"> (ЗРВКУ) и чл. 19</w:t>
      </w:r>
      <w:r w:rsidRPr="00EE107E">
        <w:rPr>
          <w:b/>
          <w:i/>
          <w:iCs/>
        </w:rPr>
        <w:t xml:space="preserve"> от Наредба за регулиране на </w:t>
      </w:r>
      <w:r>
        <w:rPr>
          <w:b/>
          <w:i/>
          <w:iCs/>
        </w:rPr>
        <w:t>цените</w:t>
      </w:r>
      <w:r w:rsidRPr="00EE107E">
        <w:rPr>
          <w:b/>
          <w:i/>
          <w:iCs/>
        </w:rPr>
        <w:t xml:space="preserve"> на водоснабдителните и канализационните услуги (</w:t>
      </w:r>
      <w:r>
        <w:rPr>
          <w:b/>
          <w:i/>
          <w:iCs/>
        </w:rPr>
        <w:t xml:space="preserve">НРЦВКУ, </w:t>
      </w:r>
      <w:proofErr w:type="spellStart"/>
      <w:r w:rsidRPr="00EE107E">
        <w:rPr>
          <w:b/>
          <w:i/>
          <w:iCs/>
        </w:rPr>
        <w:t>обн</w:t>
      </w:r>
      <w:proofErr w:type="spellEnd"/>
      <w:r w:rsidRPr="00EE107E">
        <w:rPr>
          <w:b/>
          <w:i/>
          <w:iCs/>
        </w:rPr>
        <w:t>. ДВ бр. 6 от 2016 г.)</w:t>
      </w:r>
    </w:p>
    <w:p w:rsidR="00F02850" w:rsidRDefault="00F02850" w:rsidP="00F02850">
      <w:pPr>
        <w:jc w:val="center"/>
        <w:rPr>
          <w:i/>
          <w:iCs/>
          <w:sz w:val="24"/>
          <w:szCs w:val="24"/>
        </w:rPr>
      </w:pPr>
    </w:p>
    <w:p w:rsidR="00F02850" w:rsidRDefault="00F02850" w:rsidP="00F02850">
      <w:pPr>
        <w:ind w:left="4320"/>
        <w:rPr>
          <w:b/>
          <w:bCs/>
          <w:sz w:val="24"/>
          <w:szCs w:val="24"/>
        </w:rPr>
      </w:pPr>
    </w:p>
    <w:p w:rsidR="00F02850" w:rsidRDefault="00F02850" w:rsidP="00F02850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F02850" w:rsidRPr="005341AF" w:rsidRDefault="00F02850" w:rsidP="00F02850">
      <w:pPr>
        <w:rPr>
          <w:b/>
          <w:bCs/>
        </w:rPr>
      </w:pPr>
      <w:r>
        <w:rPr>
          <w:b/>
          <w:bCs/>
        </w:rPr>
        <w:t>ПРЕДСЕДАТЕЛЯ НА</w:t>
      </w:r>
    </w:p>
    <w:p w:rsidR="00F02850" w:rsidRDefault="00F02850" w:rsidP="00F02850">
      <w:pPr>
        <w:rPr>
          <w:b/>
          <w:bCs/>
        </w:rPr>
      </w:pPr>
      <w:r w:rsidRPr="00EE3C55">
        <w:rPr>
          <w:b/>
          <w:bCs/>
        </w:rPr>
        <w:t>КОМИСИЯТА ЗА</w:t>
      </w:r>
      <w:r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F02850" w:rsidRPr="00EE3C55" w:rsidRDefault="00F02850" w:rsidP="00F02850">
      <w:pPr>
        <w:rPr>
          <w:b/>
          <w:bCs/>
        </w:rPr>
      </w:pPr>
      <w:r w:rsidRPr="00EE3C55">
        <w:rPr>
          <w:b/>
          <w:bCs/>
        </w:rPr>
        <w:t>И ВОДНО РЕГУЛИРАНЕ</w:t>
      </w:r>
    </w:p>
    <w:p w:rsidR="00F02850" w:rsidRDefault="00F02850" w:rsidP="00F02850">
      <w:pPr>
        <w:rPr>
          <w:sz w:val="24"/>
          <w:szCs w:val="24"/>
        </w:rPr>
      </w:pPr>
    </w:p>
    <w:p w:rsidR="00F02850" w:rsidRDefault="00F02850" w:rsidP="00F02850">
      <w:pPr>
        <w:rPr>
          <w:sz w:val="24"/>
          <w:szCs w:val="24"/>
        </w:rPr>
      </w:pPr>
    </w:p>
    <w:p w:rsidR="00F02850" w:rsidRDefault="00F02850" w:rsidP="00F02850">
      <w:pPr>
        <w:rPr>
          <w:sz w:val="24"/>
          <w:szCs w:val="24"/>
        </w:rPr>
      </w:pPr>
    </w:p>
    <w:p w:rsidR="001D01A6" w:rsidRDefault="00F02850" w:rsidP="00F02850">
      <w:pPr>
        <w:jc w:val="center"/>
        <w:rPr>
          <w:b/>
          <w:bCs/>
          <w:sz w:val="28"/>
          <w:szCs w:val="28"/>
        </w:rPr>
      </w:pPr>
      <w:r w:rsidRPr="002658EF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2658EF">
        <w:rPr>
          <w:b/>
          <w:bCs/>
          <w:sz w:val="28"/>
          <w:szCs w:val="28"/>
        </w:rPr>
        <w:t>Е</w:t>
      </w:r>
    </w:p>
    <w:p w:rsidR="00156063" w:rsidRDefault="001D01A6" w:rsidP="001D01A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УТВЪРЖДАВАНЕ</w:t>
      </w:r>
      <w:r w:rsidR="00156063">
        <w:rPr>
          <w:b/>
          <w:bCs/>
          <w:sz w:val="24"/>
          <w:szCs w:val="24"/>
        </w:rPr>
        <w:t xml:space="preserve"> И ОДОБРЯВАНЕ</w:t>
      </w:r>
      <w:r>
        <w:rPr>
          <w:b/>
          <w:bCs/>
          <w:sz w:val="24"/>
          <w:szCs w:val="24"/>
        </w:rPr>
        <w:t xml:space="preserve"> НА ЦЕНИ </w:t>
      </w:r>
      <w:r w:rsidRPr="002C321A">
        <w:rPr>
          <w:b/>
          <w:bCs/>
          <w:sz w:val="24"/>
          <w:szCs w:val="24"/>
        </w:rPr>
        <w:t xml:space="preserve">НА </w:t>
      </w:r>
    </w:p>
    <w:p w:rsidR="001D01A6" w:rsidRPr="002658EF" w:rsidRDefault="002C321A" w:rsidP="001D01A6">
      <w:pPr>
        <w:jc w:val="center"/>
        <w:rPr>
          <w:b/>
          <w:bCs/>
          <w:sz w:val="24"/>
          <w:szCs w:val="24"/>
          <w:lang w:val="ru-RU"/>
        </w:rPr>
      </w:pPr>
      <w:r w:rsidRPr="002C321A">
        <w:rPr>
          <w:b/>
          <w:bCs/>
          <w:sz w:val="24"/>
          <w:szCs w:val="24"/>
        </w:rPr>
        <w:t>ВОДОСНАБДИТЕЛНИТЕ И КАНАЛИЗАЦИОННИТЕ УСЛУГИ</w:t>
      </w:r>
    </w:p>
    <w:p w:rsidR="001D01A6" w:rsidRPr="002C321A" w:rsidRDefault="001D01A6" w:rsidP="001D01A6">
      <w:pPr>
        <w:rPr>
          <w:b/>
          <w:bCs/>
          <w:sz w:val="24"/>
          <w:szCs w:val="24"/>
        </w:rPr>
      </w:pPr>
    </w:p>
    <w:p w:rsidR="001D01A6" w:rsidRDefault="001D01A6" w:rsidP="001D01A6">
      <w:pPr>
        <w:rPr>
          <w:sz w:val="24"/>
          <w:szCs w:val="24"/>
        </w:rPr>
      </w:pPr>
    </w:p>
    <w:p w:rsidR="00F02850" w:rsidRPr="006D40CC" w:rsidRDefault="00F02850" w:rsidP="00F02850">
      <w:pPr>
        <w:pStyle w:val="aa"/>
        <w:jc w:val="both"/>
        <w:rPr>
          <w:b/>
        </w:rPr>
      </w:pPr>
      <w:r w:rsidRPr="006D40CC">
        <w:rPr>
          <w:b/>
        </w:rPr>
        <w:t>От</w:t>
      </w:r>
      <w:r w:rsidR="00DD0D3C">
        <w:rPr>
          <w:b/>
        </w:rPr>
        <w:t xml:space="preserve"> „ВОДОСНАБДЯВАНЕ,КАНАЛИЗАЦИЯ И СТОИТЕЛСТВО“ ЕООД</w:t>
      </w:r>
    </w:p>
    <w:p w:rsidR="00F02850" w:rsidRPr="006D40CC" w:rsidRDefault="00F02850" w:rsidP="00F02850">
      <w:pPr>
        <w:pStyle w:val="aa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F02850" w:rsidRPr="006D40CC" w:rsidRDefault="00F02850" w:rsidP="00F02850">
      <w:pPr>
        <w:pStyle w:val="aa"/>
        <w:jc w:val="both"/>
        <w:rPr>
          <w:b/>
        </w:rPr>
      </w:pPr>
    </w:p>
    <w:p w:rsidR="00F02850" w:rsidRPr="006D40CC" w:rsidRDefault="00F02850" w:rsidP="00F02850">
      <w:pPr>
        <w:pStyle w:val="aa"/>
        <w:jc w:val="both"/>
        <w:rPr>
          <w:b/>
        </w:rPr>
      </w:pPr>
      <w:r>
        <w:rPr>
          <w:b/>
        </w:rPr>
        <w:t>ЕИК/</w:t>
      </w:r>
      <w:r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Pr="006D40CC">
        <w:rPr>
          <w:b/>
        </w:rPr>
        <w:t>членка на Европейския съюз</w:t>
      </w:r>
      <w:r>
        <w:rPr>
          <w:b/>
        </w:rPr>
        <w:t>/</w:t>
      </w:r>
      <w:r w:rsidR="00DD0D3C">
        <w:rPr>
          <w:b/>
        </w:rPr>
        <w:t xml:space="preserve"> 822104714</w:t>
      </w:r>
    </w:p>
    <w:p w:rsidR="00F02850" w:rsidRPr="00417C75" w:rsidRDefault="00F02850" w:rsidP="00F02850">
      <w:pPr>
        <w:pStyle w:val="aa"/>
        <w:jc w:val="both"/>
        <w:rPr>
          <w:b/>
          <w:lang w:val="en-US"/>
        </w:rPr>
      </w:pPr>
      <w:r>
        <w:rPr>
          <w:b/>
        </w:rPr>
        <w:t>телефон:</w:t>
      </w:r>
      <w:r w:rsidR="00417C75">
        <w:rPr>
          <w:b/>
        </w:rPr>
        <w:t xml:space="preserve"> 0350 62134 </w:t>
      </w:r>
      <w:r>
        <w:rPr>
          <w:b/>
        </w:rPr>
        <w:t>факс</w:t>
      </w:r>
      <w:r w:rsidR="00417C75">
        <w:rPr>
          <w:b/>
        </w:rPr>
        <w:t xml:space="preserve"> </w:t>
      </w:r>
      <w:r>
        <w:rPr>
          <w:b/>
        </w:rPr>
        <w:t>:</w:t>
      </w:r>
      <w:r w:rsidR="00417C75">
        <w:rPr>
          <w:b/>
        </w:rPr>
        <w:t xml:space="preserve">0350 62184 </w:t>
      </w:r>
      <w:r w:rsidRPr="006D40CC">
        <w:rPr>
          <w:b/>
        </w:rPr>
        <w:t>e-</w:t>
      </w:r>
      <w:proofErr w:type="spellStart"/>
      <w:r w:rsidRPr="006D40CC">
        <w:rPr>
          <w:b/>
        </w:rPr>
        <w:t>mail</w:t>
      </w:r>
      <w:proofErr w:type="spellEnd"/>
      <w:r w:rsidRPr="006D40CC">
        <w:rPr>
          <w:b/>
        </w:rPr>
        <w:t>:</w:t>
      </w:r>
      <w:r w:rsidR="00417C75">
        <w:rPr>
          <w:b/>
          <w:lang w:val="en-US"/>
        </w:rPr>
        <w:t>vik_peshtera@mail.bg</w:t>
      </w:r>
    </w:p>
    <w:p w:rsidR="00F02850" w:rsidRPr="006D40CC" w:rsidRDefault="00F02850" w:rsidP="00F02850">
      <w:pPr>
        <w:pStyle w:val="aa"/>
        <w:jc w:val="both"/>
        <w:rPr>
          <w:b/>
          <w:iCs/>
        </w:rPr>
      </w:pPr>
    </w:p>
    <w:p w:rsidR="00F02850" w:rsidRPr="00417C75" w:rsidRDefault="00F02850" w:rsidP="00F02850">
      <w:pPr>
        <w:pStyle w:val="aa"/>
        <w:jc w:val="both"/>
        <w:rPr>
          <w:b/>
        </w:rPr>
      </w:pPr>
      <w:r w:rsidRPr="006D40CC">
        <w:rPr>
          <w:b/>
        </w:rPr>
        <w:t>представлявано от</w:t>
      </w:r>
      <w:r w:rsidR="00417C75">
        <w:rPr>
          <w:b/>
          <w:lang w:val="en-US"/>
        </w:rPr>
        <w:t xml:space="preserve"> </w:t>
      </w:r>
      <w:r w:rsidR="00417C75">
        <w:rPr>
          <w:b/>
        </w:rPr>
        <w:t>СЕРГЕЙ ВАСИЛЕВ СТОЙНОВ</w:t>
      </w:r>
    </w:p>
    <w:p w:rsidR="00F02850" w:rsidRPr="006D40CC" w:rsidRDefault="00F02850" w:rsidP="00F02850">
      <w:pPr>
        <w:pStyle w:val="aa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F02850" w:rsidRPr="006D40CC" w:rsidRDefault="00F02850" w:rsidP="00F02850">
      <w:pPr>
        <w:pStyle w:val="aa"/>
        <w:jc w:val="both"/>
        <w:rPr>
          <w:b/>
        </w:rPr>
      </w:pPr>
    </w:p>
    <w:p w:rsidR="00F02850" w:rsidRPr="006D40CC" w:rsidRDefault="00F02850" w:rsidP="00F02850">
      <w:pPr>
        <w:pStyle w:val="aa"/>
        <w:jc w:val="both"/>
        <w:rPr>
          <w:b/>
        </w:rPr>
      </w:pPr>
      <w:r w:rsidRPr="006D40CC">
        <w:rPr>
          <w:b/>
        </w:rPr>
        <w:t>в качеството на</w:t>
      </w:r>
      <w:r>
        <w:rPr>
          <w:b/>
        </w:rPr>
        <w:t xml:space="preserve"> </w:t>
      </w:r>
      <w:r w:rsidR="00417C75">
        <w:rPr>
          <w:b/>
        </w:rPr>
        <w:t>УПРАВИТЕЛ</w:t>
      </w:r>
    </w:p>
    <w:p w:rsidR="00F02850" w:rsidRDefault="00F02850" w:rsidP="00F02850">
      <w:pPr>
        <w:rPr>
          <w:sz w:val="24"/>
          <w:szCs w:val="24"/>
        </w:rPr>
      </w:pPr>
    </w:p>
    <w:p w:rsidR="00F02850" w:rsidRDefault="00F02850" w:rsidP="00F02850">
      <w:pPr>
        <w:rPr>
          <w:sz w:val="24"/>
          <w:szCs w:val="24"/>
        </w:rPr>
      </w:pPr>
    </w:p>
    <w:p w:rsidR="00F02850" w:rsidRPr="006D40CC" w:rsidRDefault="00F02850" w:rsidP="00F02850">
      <w:pPr>
        <w:pStyle w:val="aa"/>
        <w:jc w:val="both"/>
        <w:rPr>
          <w:b/>
        </w:rPr>
      </w:pPr>
      <w:r w:rsidRPr="006D40CC">
        <w:rPr>
          <w:b/>
        </w:rPr>
        <w:tab/>
        <w:t>УВАЖАЕМИ/А ГОСПОДИН/ГОСПОЖО ПРЕДСЕДАТЕЛ,</w:t>
      </w:r>
    </w:p>
    <w:p w:rsidR="001D01A6" w:rsidRDefault="001D01A6" w:rsidP="001D01A6">
      <w:pPr>
        <w:rPr>
          <w:sz w:val="24"/>
          <w:szCs w:val="24"/>
        </w:rPr>
      </w:pPr>
    </w:p>
    <w:p w:rsidR="001D01A6" w:rsidRDefault="001D01A6" w:rsidP="001D01A6">
      <w:pPr>
        <w:rPr>
          <w:sz w:val="24"/>
          <w:szCs w:val="24"/>
        </w:rPr>
      </w:pPr>
    </w:p>
    <w:p w:rsidR="00F02850" w:rsidRPr="00EE107E" w:rsidRDefault="00F02850" w:rsidP="00F02850">
      <w:pPr>
        <w:pStyle w:val="aa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>
        <w:rPr>
          <w:b/>
        </w:rPr>
        <w:t>Моля, на основание чл. 14, ал. 1 от ЗРВКУ и чл. 19 от НРЦВКУ да утвърдите</w:t>
      </w:r>
      <w:r w:rsidRPr="006D40CC">
        <w:rPr>
          <w:b/>
        </w:rPr>
        <w:t xml:space="preserve">, считано от </w:t>
      </w:r>
      <w:r w:rsidR="00417C75">
        <w:rPr>
          <w:b/>
        </w:rPr>
        <w:t>01.01.2022</w:t>
      </w:r>
      <w:r>
        <w:rPr>
          <w:b/>
        </w:rPr>
        <w:t xml:space="preserve"> </w:t>
      </w:r>
      <w:r w:rsidRPr="006D40CC">
        <w:rPr>
          <w:b/>
        </w:rPr>
        <w:t xml:space="preserve">г. </w:t>
      </w:r>
      <w:r>
        <w:rPr>
          <w:b/>
        </w:rPr>
        <w:t xml:space="preserve">цени на водоснабдителни и канализационни услуги за периода </w:t>
      </w:r>
      <w:r w:rsidR="00417C75">
        <w:rPr>
          <w:b/>
        </w:rPr>
        <w:t>2022-2026г.</w:t>
      </w:r>
    </w:p>
    <w:p w:rsidR="00113968" w:rsidRPr="008E314B" w:rsidRDefault="00113968" w:rsidP="00113968">
      <w:pPr>
        <w:ind w:left="720"/>
        <w:rPr>
          <w:sz w:val="24"/>
          <w:szCs w:val="24"/>
        </w:rPr>
      </w:pPr>
    </w:p>
    <w:tbl>
      <w:tblPr>
        <w:tblW w:w="6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4"/>
        <w:gridCol w:w="2403"/>
        <w:gridCol w:w="960"/>
      </w:tblGrid>
      <w:tr w:rsidR="002B5B81" w:rsidRPr="002B5B81" w:rsidTr="002B5B81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2B5B81">
              <w:rPr>
                <w:b/>
                <w:bCs/>
                <w:color w:val="000000"/>
                <w:lang w:eastAsia="bg-BG"/>
              </w:rPr>
              <w:t>Цени на ВиК услуги  в  лв./</w:t>
            </w:r>
            <w:proofErr w:type="spellStart"/>
            <w:r w:rsidRPr="002B5B81">
              <w:rPr>
                <w:b/>
                <w:bCs/>
                <w:color w:val="000000"/>
                <w:lang w:eastAsia="bg-BG"/>
              </w:rPr>
              <w:t>куб.м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:rsidR="002B5B81" w:rsidRPr="00D4283B" w:rsidRDefault="00417C75" w:rsidP="002B5B81">
            <w:pPr>
              <w:jc w:val="center"/>
              <w:rPr>
                <w:b/>
                <w:bCs/>
                <w:color w:val="000000"/>
                <w:lang w:eastAsia="bg-BG"/>
              </w:rPr>
            </w:pPr>
            <w:r>
              <w:rPr>
                <w:b/>
                <w:bCs/>
                <w:color w:val="000000"/>
                <w:lang w:eastAsia="bg-BG"/>
              </w:rPr>
              <w:t>2022</w:t>
            </w:r>
            <w:r w:rsidR="002B5B81" w:rsidRPr="009637EA">
              <w:rPr>
                <w:b/>
                <w:bCs/>
                <w:color w:val="000000"/>
                <w:lang w:eastAsia="bg-BG"/>
              </w:rPr>
              <w:t>г.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2B5B81" w:rsidRPr="002B5B81" w:rsidRDefault="002B5B81" w:rsidP="009C6198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 xml:space="preserve">Цена за услугата доставяне на вода на потребителите  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2B5B81">
              <w:rPr>
                <w:rFonts w:ascii="Calibri" w:hAnsi="Calibri" w:cs="Calibri"/>
                <w:color w:val="000000"/>
                <w:lang w:eastAsia="bg-BG"/>
              </w:rPr>
              <w:t> </w:t>
            </w:r>
            <w:r w:rsidR="001747E2">
              <w:rPr>
                <w:rFonts w:ascii="Calibri" w:hAnsi="Calibri" w:cs="Calibri"/>
                <w:color w:val="000000"/>
                <w:lang w:eastAsia="bg-BG"/>
              </w:rPr>
              <w:t>1.071</w:t>
            </w:r>
          </w:p>
        </w:tc>
      </w:tr>
      <w:tr w:rsidR="002B5B81" w:rsidRPr="002B5B81" w:rsidTr="00A608A2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2B5B81" w:rsidRPr="002B5B81" w:rsidRDefault="002B5B81" w:rsidP="009C6198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 xml:space="preserve">Цена за услугата отвеждане на отпадъчните води           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2B5B81">
              <w:rPr>
                <w:rFonts w:ascii="Calibri" w:hAnsi="Calibri" w:cs="Calibri"/>
                <w:color w:val="000000"/>
                <w:lang w:eastAsia="bg-BG"/>
              </w:rPr>
              <w:t> </w:t>
            </w:r>
            <w:r w:rsidR="001747E2">
              <w:rPr>
                <w:rFonts w:ascii="Calibri" w:hAnsi="Calibri" w:cs="Calibri"/>
                <w:color w:val="000000"/>
                <w:lang w:eastAsia="bg-BG"/>
              </w:rPr>
              <w:t>0.211</w:t>
            </w:r>
          </w:p>
        </w:tc>
      </w:tr>
      <w:tr w:rsidR="002B5B81" w:rsidRPr="002B5B81" w:rsidTr="00A608A2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>Цена за услугата пречистване на отпадъчните води</w:t>
            </w:r>
          </w:p>
        </w:tc>
        <w:tc>
          <w:tcPr>
            <w:tcW w:w="960" w:type="dxa"/>
            <w:shd w:val="thinDiagCross" w:color="auto" w:fill="auto"/>
            <w:noWrap/>
            <w:vAlign w:val="bottom"/>
            <w:hideMark/>
          </w:tcPr>
          <w:p w:rsidR="002B5B81" w:rsidRPr="002B5B81" w:rsidRDefault="002B5B81" w:rsidP="002B5B81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2B5B81">
              <w:rPr>
                <w:rFonts w:ascii="Calibri" w:hAnsi="Calibri" w:cs="Calibri"/>
                <w:color w:val="000000"/>
                <w:lang w:eastAsia="bg-BG"/>
              </w:rPr>
              <w:t> 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jc w:val="right"/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Битови и приравнените към тях общ., търг. и др.</w:t>
            </w:r>
            <w:r w:rsidR="00695360">
              <w:rPr>
                <w:i/>
                <w:iCs/>
                <w:color w:val="000000"/>
                <w:lang w:eastAsia="bg-BG"/>
              </w:rPr>
              <w:t xml:space="preserve"> потребители  </w:t>
            </w:r>
            <w:r w:rsidRPr="002B5B81">
              <w:rPr>
                <w:i/>
                <w:iCs/>
                <w:color w:val="000000"/>
                <w:lang w:eastAsia="bg-BG"/>
              </w:rPr>
              <w:t xml:space="preserve">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0.404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3144" w:type="dxa"/>
            <w:vMerge w:val="restart"/>
            <w:vAlign w:val="center"/>
            <w:hideMark/>
          </w:tcPr>
          <w:p w:rsidR="002B5B81" w:rsidRPr="002B5B81" w:rsidRDefault="002B5B81" w:rsidP="002B5B81">
            <w:pPr>
              <w:jc w:val="center"/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Промишлени и стопански</w:t>
            </w:r>
            <w:r w:rsidR="00695360">
              <w:rPr>
                <w:i/>
                <w:iCs/>
                <w:color w:val="000000"/>
                <w:lang w:eastAsia="bg-BG"/>
              </w:rPr>
              <w:t xml:space="preserve"> потребители  </w:t>
            </w:r>
          </w:p>
        </w:tc>
        <w:tc>
          <w:tcPr>
            <w:tcW w:w="2403" w:type="dxa"/>
            <w:noWrap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 xml:space="preserve"> степен на замърсяване 1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0.535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3144" w:type="dxa"/>
            <w:vMerge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2403" w:type="dxa"/>
            <w:noWrap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степен на замърсяване 2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0.664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3144" w:type="dxa"/>
            <w:vMerge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2403" w:type="dxa"/>
            <w:noWrap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степен на замърсяване 3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0.897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 xml:space="preserve">Цена за услугата доставяне на вода на друг ВиК оператор 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547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>Цена за услугата доставяне на вода с непитейни качества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</w:tr>
    </w:tbl>
    <w:p w:rsidR="002B5B81" w:rsidRDefault="002B5B81" w:rsidP="008E314B">
      <w:pPr>
        <w:rPr>
          <w:sz w:val="24"/>
          <w:szCs w:val="24"/>
        </w:rPr>
      </w:pPr>
    </w:p>
    <w:p w:rsidR="00F02850" w:rsidRPr="00EE107E" w:rsidRDefault="00F02850" w:rsidP="00F02850">
      <w:pPr>
        <w:pStyle w:val="aa"/>
        <w:jc w:val="both"/>
        <w:rPr>
          <w:b/>
          <w:lang w:val="en-US"/>
        </w:rPr>
      </w:pPr>
      <w:r>
        <w:rPr>
          <w:b/>
        </w:rPr>
        <w:t>2</w:t>
      </w:r>
      <w:r w:rsidRPr="006D40CC">
        <w:rPr>
          <w:b/>
        </w:rPr>
        <w:t xml:space="preserve">. </w:t>
      </w:r>
      <w:r>
        <w:rPr>
          <w:b/>
        </w:rPr>
        <w:t xml:space="preserve">Моля, на основание чл. 14, ал. 1 от ЗРВКУ и чл. 19 от НРЦВКУ да одобрите цени на водоснабдителни и канализационни услуги за периода </w:t>
      </w:r>
      <w:r w:rsidR="00417C75">
        <w:rPr>
          <w:b/>
        </w:rPr>
        <w:t>2022-2026г.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9"/>
        <w:gridCol w:w="2403"/>
        <w:gridCol w:w="960"/>
        <w:gridCol w:w="960"/>
        <w:gridCol w:w="960"/>
        <w:gridCol w:w="960"/>
      </w:tblGrid>
      <w:tr w:rsidR="002B5B81" w:rsidRPr="002B5B81" w:rsidTr="002B5B81">
        <w:trPr>
          <w:trHeight w:val="300"/>
          <w:jc w:val="center"/>
        </w:trPr>
        <w:tc>
          <w:tcPr>
            <w:tcW w:w="5242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jc w:val="center"/>
              <w:rPr>
                <w:b/>
                <w:bCs/>
                <w:color w:val="000000"/>
                <w:lang w:eastAsia="bg-BG"/>
              </w:rPr>
            </w:pPr>
            <w:r w:rsidRPr="002B5B81">
              <w:rPr>
                <w:b/>
                <w:bCs/>
                <w:color w:val="000000"/>
                <w:lang w:eastAsia="bg-BG"/>
              </w:rPr>
              <w:t>Цени на ВиК услуги  в  лв./</w:t>
            </w:r>
            <w:proofErr w:type="spellStart"/>
            <w:r w:rsidRPr="002B5B81">
              <w:rPr>
                <w:b/>
                <w:bCs/>
                <w:color w:val="000000"/>
                <w:lang w:eastAsia="bg-BG"/>
              </w:rPr>
              <w:t>куб.м</w:t>
            </w:r>
            <w:proofErr w:type="spellEnd"/>
          </w:p>
        </w:tc>
        <w:tc>
          <w:tcPr>
            <w:tcW w:w="960" w:type="dxa"/>
            <w:noWrap/>
            <w:vAlign w:val="bottom"/>
            <w:hideMark/>
          </w:tcPr>
          <w:p w:rsidR="002B5B81" w:rsidRPr="00D4283B" w:rsidRDefault="00417C75" w:rsidP="002B5B81">
            <w:pPr>
              <w:jc w:val="center"/>
              <w:rPr>
                <w:b/>
                <w:bCs/>
                <w:color w:val="000000"/>
                <w:lang w:eastAsia="bg-BG"/>
              </w:rPr>
            </w:pPr>
            <w:r>
              <w:rPr>
                <w:b/>
                <w:bCs/>
                <w:color w:val="000000"/>
                <w:lang w:eastAsia="bg-BG"/>
              </w:rPr>
              <w:t xml:space="preserve">2023 </w:t>
            </w:r>
            <w:r w:rsidR="00F02850" w:rsidRPr="009637EA">
              <w:rPr>
                <w:b/>
                <w:bCs/>
                <w:color w:val="000000"/>
                <w:lang w:eastAsia="bg-BG"/>
              </w:rPr>
              <w:t>г.</w:t>
            </w:r>
          </w:p>
        </w:tc>
        <w:tc>
          <w:tcPr>
            <w:tcW w:w="960" w:type="dxa"/>
            <w:noWrap/>
            <w:vAlign w:val="bottom"/>
            <w:hideMark/>
          </w:tcPr>
          <w:p w:rsidR="002B5B81" w:rsidRPr="00D4283B" w:rsidRDefault="00417C75" w:rsidP="002B5B81">
            <w:pPr>
              <w:jc w:val="center"/>
              <w:rPr>
                <w:b/>
                <w:bCs/>
                <w:color w:val="000000"/>
                <w:lang w:eastAsia="bg-BG"/>
              </w:rPr>
            </w:pPr>
            <w:r>
              <w:rPr>
                <w:b/>
                <w:bCs/>
                <w:color w:val="000000"/>
                <w:lang w:eastAsia="bg-BG"/>
              </w:rPr>
              <w:t>2024</w:t>
            </w:r>
            <w:r w:rsidR="00F02850" w:rsidRPr="009637EA">
              <w:rPr>
                <w:b/>
                <w:bCs/>
                <w:color w:val="000000"/>
                <w:lang w:eastAsia="bg-BG"/>
              </w:rPr>
              <w:t>г.</w:t>
            </w:r>
          </w:p>
        </w:tc>
        <w:tc>
          <w:tcPr>
            <w:tcW w:w="960" w:type="dxa"/>
            <w:noWrap/>
            <w:vAlign w:val="bottom"/>
            <w:hideMark/>
          </w:tcPr>
          <w:p w:rsidR="002B5B81" w:rsidRPr="00D4283B" w:rsidRDefault="00417C75" w:rsidP="002B5B81">
            <w:pPr>
              <w:jc w:val="center"/>
              <w:rPr>
                <w:b/>
                <w:bCs/>
                <w:color w:val="000000"/>
                <w:lang w:eastAsia="bg-BG"/>
              </w:rPr>
            </w:pPr>
            <w:r>
              <w:rPr>
                <w:b/>
                <w:bCs/>
                <w:color w:val="000000"/>
                <w:lang w:eastAsia="bg-BG"/>
              </w:rPr>
              <w:t>2025</w:t>
            </w:r>
            <w:r w:rsidR="00F02850" w:rsidRPr="009637EA">
              <w:rPr>
                <w:b/>
                <w:bCs/>
                <w:color w:val="000000"/>
                <w:lang w:eastAsia="bg-BG"/>
              </w:rPr>
              <w:t>г.</w:t>
            </w:r>
          </w:p>
        </w:tc>
        <w:tc>
          <w:tcPr>
            <w:tcW w:w="960" w:type="dxa"/>
            <w:noWrap/>
            <w:vAlign w:val="bottom"/>
            <w:hideMark/>
          </w:tcPr>
          <w:p w:rsidR="002B5B81" w:rsidRPr="00D4283B" w:rsidRDefault="00417C75" w:rsidP="002B5B81">
            <w:pPr>
              <w:jc w:val="center"/>
              <w:rPr>
                <w:b/>
                <w:bCs/>
                <w:color w:val="000000"/>
                <w:lang w:eastAsia="bg-BG"/>
              </w:rPr>
            </w:pPr>
            <w:r>
              <w:rPr>
                <w:b/>
                <w:bCs/>
                <w:color w:val="000000"/>
                <w:lang w:eastAsia="bg-BG"/>
              </w:rPr>
              <w:t xml:space="preserve">2026 </w:t>
            </w:r>
            <w:r w:rsidR="00F02850" w:rsidRPr="009637EA">
              <w:rPr>
                <w:b/>
                <w:bCs/>
                <w:color w:val="000000"/>
                <w:lang w:eastAsia="bg-BG"/>
              </w:rPr>
              <w:t>г.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242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 xml:space="preserve">Цена за услугата доставяне на вода на потребителите  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1.097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1.146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1.157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1.174</w:t>
            </w:r>
          </w:p>
        </w:tc>
      </w:tr>
      <w:tr w:rsidR="002B5B81" w:rsidRPr="002B5B81" w:rsidTr="00A608A2">
        <w:trPr>
          <w:trHeight w:val="300"/>
          <w:jc w:val="center"/>
        </w:trPr>
        <w:tc>
          <w:tcPr>
            <w:tcW w:w="5242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lastRenderedPageBreak/>
              <w:t xml:space="preserve">Цена за услугата отвеждане на отпадъчните води           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0.222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0.225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0.231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0.237</w:t>
            </w:r>
          </w:p>
        </w:tc>
      </w:tr>
      <w:tr w:rsidR="002B5B81" w:rsidRPr="002B5B81" w:rsidTr="00A608A2">
        <w:trPr>
          <w:trHeight w:val="300"/>
          <w:jc w:val="center"/>
        </w:trPr>
        <w:tc>
          <w:tcPr>
            <w:tcW w:w="5242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>Цена за услугата пречистване на отпадъчните води</w:t>
            </w:r>
          </w:p>
        </w:tc>
        <w:tc>
          <w:tcPr>
            <w:tcW w:w="960" w:type="dxa"/>
            <w:tcBorders>
              <w:right w:val="nil"/>
            </w:tcBorders>
            <w:shd w:val="thinDiagCross" w:color="auto" w:fill="auto"/>
            <w:noWrap/>
            <w:vAlign w:val="bottom"/>
            <w:hideMark/>
          </w:tcPr>
          <w:p w:rsidR="002B5B81" w:rsidRPr="002B5B81" w:rsidRDefault="002B5B81" w:rsidP="002B5B81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2B5B81">
              <w:rPr>
                <w:rFonts w:ascii="Calibri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thinDiagCross" w:color="auto" w:fill="auto"/>
            <w:noWrap/>
            <w:vAlign w:val="bottom"/>
            <w:hideMark/>
          </w:tcPr>
          <w:p w:rsidR="002B5B81" w:rsidRPr="002B5B81" w:rsidRDefault="002B5B81" w:rsidP="002B5B81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2B5B81">
              <w:rPr>
                <w:rFonts w:ascii="Calibri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thinDiagCross" w:color="auto" w:fill="auto"/>
            <w:noWrap/>
            <w:vAlign w:val="bottom"/>
            <w:hideMark/>
          </w:tcPr>
          <w:p w:rsidR="002B5B81" w:rsidRPr="002B5B81" w:rsidRDefault="002B5B81" w:rsidP="002B5B81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2B5B81">
              <w:rPr>
                <w:rFonts w:ascii="Calibri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60" w:type="dxa"/>
            <w:tcBorders>
              <w:left w:val="nil"/>
            </w:tcBorders>
            <w:shd w:val="thinDiagCross" w:color="auto" w:fill="auto"/>
            <w:noWrap/>
            <w:vAlign w:val="bottom"/>
            <w:hideMark/>
          </w:tcPr>
          <w:p w:rsidR="002B5B81" w:rsidRPr="002B5B81" w:rsidRDefault="002B5B81" w:rsidP="002B5B81">
            <w:pPr>
              <w:rPr>
                <w:rFonts w:ascii="Calibri" w:hAnsi="Calibri" w:cs="Calibri"/>
                <w:color w:val="000000"/>
                <w:lang w:eastAsia="bg-BG"/>
              </w:rPr>
            </w:pPr>
            <w:r w:rsidRPr="002B5B81">
              <w:rPr>
                <w:rFonts w:ascii="Calibri" w:hAnsi="Calibri" w:cs="Calibri"/>
                <w:color w:val="000000"/>
                <w:lang w:eastAsia="bg-BG"/>
              </w:rPr>
              <w:t> 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242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jc w:val="right"/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Битови и приравнените към тях общ., търг. и др.</w:t>
            </w:r>
            <w:r w:rsidR="007359C4">
              <w:rPr>
                <w:i/>
                <w:iCs/>
                <w:color w:val="000000"/>
                <w:lang w:eastAsia="bg-BG"/>
              </w:rPr>
              <w:t xml:space="preserve"> потребители  </w:t>
            </w:r>
            <w:r w:rsidRPr="002B5B81">
              <w:rPr>
                <w:color w:val="000000"/>
                <w:lang w:eastAsia="bg-BG"/>
              </w:rPr>
              <w:t xml:space="preserve">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0.417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0.437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0.451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0.464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2839" w:type="dxa"/>
            <w:vMerge w:val="restart"/>
            <w:vAlign w:val="center"/>
            <w:hideMark/>
          </w:tcPr>
          <w:p w:rsidR="002B5B81" w:rsidRPr="002B5B81" w:rsidRDefault="002B5B81" w:rsidP="002B5B81">
            <w:pPr>
              <w:jc w:val="right"/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Промишлени и стопански</w:t>
            </w:r>
            <w:r w:rsidR="007359C4">
              <w:rPr>
                <w:i/>
                <w:iCs/>
                <w:color w:val="000000"/>
                <w:lang w:eastAsia="bg-BG"/>
              </w:rPr>
              <w:t xml:space="preserve"> потребители  </w:t>
            </w:r>
            <w:r w:rsidRPr="002B5B81">
              <w:rPr>
                <w:i/>
                <w:iCs/>
                <w:color w:val="000000"/>
                <w:lang w:eastAsia="bg-BG"/>
              </w:rPr>
              <w:t xml:space="preserve">     </w:t>
            </w:r>
          </w:p>
        </w:tc>
        <w:tc>
          <w:tcPr>
            <w:tcW w:w="2403" w:type="dxa"/>
            <w:noWrap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 xml:space="preserve"> степен на замърсяване 1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0.552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0.578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0.597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0.614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2839" w:type="dxa"/>
            <w:vMerge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2403" w:type="dxa"/>
            <w:noWrap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степен на замърсяване 2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0.686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0.718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0.742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0.763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2839" w:type="dxa"/>
            <w:vMerge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</w:p>
        </w:tc>
        <w:tc>
          <w:tcPr>
            <w:tcW w:w="2403" w:type="dxa"/>
            <w:noWrap/>
            <w:vAlign w:val="center"/>
            <w:hideMark/>
          </w:tcPr>
          <w:p w:rsidR="002B5B81" w:rsidRPr="002B5B81" w:rsidRDefault="002B5B81" w:rsidP="002B5B81">
            <w:pPr>
              <w:rPr>
                <w:i/>
                <w:iCs/>
                <w:color w:val="000000"/>
                <w:lang w:eastAsia="bg-BG"/>
              </w:rPr>
            </w:pPr>
            <w:r w:rsidRPr="002B5B81">
              <w:rPr>
                <w:i/>
                <w:iCs/>
                <w:color w:val="000000"/>
                <w:lang w:eastAsia="bg-BG"/>
              </w:rPr>
              <w:t>степен на замърсяване 3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1747E2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0.926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0.971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1.002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B50B5B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  <w:r>
              <w:rPr>
                <w:rFonts w:ascii="Calibri" w:hAnsi="Calibri" w:cs="Calibri"/>
                <w:color w:val="000000"/>
                <w:lang w:eastAsia="bg-BG"/>
              </w:rPr>
              <w:t>1.031</w:t>
            </w: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242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 xml:space="preserve">Цена за услугата доставяне на вода на друг ВиК оператор   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</w:tr>
      <w:tr w:rsidR="002B5B81" w:rsidRPr="002B5B81" w:rsidTr="009C6198">
        <w:trPr>
          <w:trHeight w:val="300"/>
          <w:jc w:val="center"/>
        </w:trPr>
        <w:tc>
          <w:tcPr>
            <w:tcW w:w="5242" w:type="dxa"/>
            <w:gridSpan w:val="2"/>
            <w:noWrap/>
            <w:vAlign w:val="center"/>
            <w:hideMark/>
          </w:tcPr>
          <w:p w:rsidR="002B5B81" w:rsidRPr="002B5B81" w:rsidRDefault="002B5B81" w:rsidP="002B5B81">
            <w:pPr>
              <w:rPr>
                <w:color w:val="000000"/>
                <w:lang w:eastAsia="bg-BG"/>
              </w:rPr>
            </w:pPr>
            <w:r w:rsidRPr="002B5B81">
              <w:rPr>
                <w:color w:val="000000"/>
                <w:lang w:eastAsia="bg-BG"/>
              </w:rPr>
              <w:t>Цена за услугата доставяне на вода с непитейни качества</w:t>
            </w: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B5B81" w:rsidRPr="002B5B81" w:rsidRDefault="002B5B81" w:rsidP="009C6198">
            <w:pPr>
              <w:jc w:val="center"/>
              <w:rPr>
                <w:rFonts w:ascii="Calibri" w:hAnsi="Calibri" w:cs="Calibri"/>
                <w:color w:val="000000"/>
                <w:lang w:eastAsia="bg-BG"/>
              </w:rPr>
            </w:pPr>
          </w:p>
        </w:tc>
      </w:tr>
    </w:tbl>
    <w:p w:rsidR="00113968" w:rsidRDefault="00113968" w:rsidP="001D01A6">
      <w:pPr>
        <w:rPr>
          <w:sz w:val="24"/>
          <w:szCs w:val="24"/>
        </w:rPr>
      </w:pPr>
    </w:p>
    <w:p w:rsidR="00F02850" w:rsidRPr="006D40CC" w:rsidRDefault="00F02850" w:rsidP="00F02850">
      <w:pPr>
        <w:pStyle w:val="aa"/>
        <w:jc w:val="both"/>
        <w:rPr>
          <w:b/>
        </w:rPr>
      </w:pPr>
      <w:r>
        <w:rPr>
          <w:b/>
        </w:rPr>
        <w:t>3</w:t>
      </w:r>
      <w:r w:rsidRPr="006D40CC">
        <w:rPr>
          <w:b/>
        </w:rPr>
        <w:t>. Прилагам следните документи</w:t>
      </w:r>
      <w:r>
        <w:rPr>
          <w:b/>
        </w:rPr>
        <w:t xml:space="preserve"> съгласно чл. 20, ал. 1 от НРЦВКУ</w:t>
      </w:r>
      <w:r w:rsidRPr="006D40CC">
        <w:rPr>
          <w:b/>
        </w:rPr>
        <w:t>: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1.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>годишни финансови отчети за последните три години, предхождащи представянето на бизнес</w:t>
      </w:r>
      <w:r>
        <w:rPr>
          <w:color w:val="000000"/>
          <w:sz w:val="24"/>
          <w:szCs w:val="24"/>
          <w:lang w:eastAsia="bg-BG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 xml:space="preserve">плана с всичките им съставни части, изготвени в съответствие с изискванията на </w:t>
      </w:r>
      <w:hyperlink r:id="rId8" w:history="1">
        <w:r w:rsidRPr="00FF0E6E">
          <w:rPr>
            <w:color w:val="000000"/>
            <w:sz w:val="24"/>
            <w:szCs w:val="24"/>
            <w:lang w:eastAsia="bg-BG"/>
          </w:rPr>
          <w:t>Закона за счетоводството</w:t>
        </w:r>
      </w:hyperlink>
      <w:r w:rsidRPr="00FF0E6E">
        <w:rPr>
          <w:color w:val="000000"/>
          <w:sz w:val="24"/>
          <w:szCs w:val="24"/>
          <w:lang w:eastAsia="bg-BG"/>
        </w:rPr>
        <w:t xml:space="preserve"> и приложимите счетоводни стандарти, заверени от регистриран одитор;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2.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>годишни отчетни справки за целите на регулаторното счетоводство, изготвени в съответствие с правилата и инструкциите на Единната система за регулаторна отчетност;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3.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>технически, икономически и финансови данни, включително годишни отчети за продажбите през трите години, предхождащи представянето на бизнес</w:t>
      </w:r>
      <w:r w:rsidR="008B6F8C">
        <w:rPr>
          <w:color w:val="000000"/>
          <w:sz w:val="24"/>
          <w:szCs w:val="24"/>
          <w:lang w:eastAsia="bg-BG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 xml:space="preserve">плана, както и всяка друга информация, свързана с предлаганите за утвърждаване </w:t>
      </w:r>
      <w:r w:rsidRPr="00FF0E6E">
        <w:rPr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цени</w:t>
      </w:r>
      <w:r w:rsidRPr="00FF0E6E">
        <w:rPr>
          <w:color w:val="000000"/>
          <w:sz w:val="24"/>
          <w:szCs w:val="24"/>
          <w:lang w:eastAsia="bg-BG"/>
        </w:rPr>
        <w:t>;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4.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 xml:space="preserve">информация по групи потребители, включително брой на потребителите, приходи от услугите </w:t>
      </w:r>
      <w:r w:rsidR="00243EDC">
        <w:rPr>
          <w:color w:val="000000"/>
          <w:sz w:val="24"/>
          <w:szCs w:val="24"/>
          <w:lang w:eastAsia="bg-BG"/>
        </w:rPr>
        <w:t>„</w:t>
      </w:r>
      <w:r w:rsidRPr="00FF0E6E">
        <w:rPr>
          <w:color w:val="000000"/>
          <w:sz w:val="24"/>
          <w:szCs w:val="24"/>
          <w:lang w:eastAsia="bg-BG"/>
        </w:rPr>
        <w:t>доставяне на вода на потребителите</w:t>
      </w:r>
      <w:r w:rsidR="00243EDC">
        <w:rPr>
          <w:color w:val="000000"/>
          <w:sz w:val="24"/>
          <w:szCs w:val="24"/>
          <w:lang w:eastAsia="bg-BG"/>
        </w:rPr>
        <w:t>“</w:t>
      </w:r>
      <w:r w:rsidRPr="00FF0E6E">
        <w:rPr>
          <w:color w:val="000000"/>
          <w:sz w:val="24"/>
          <w:szCs w:val="24"/>
          <w:lang w:eastAsia="bg-BG"/>
        </w:rPr>
        <w:t xml:space="preserve">, </w:t>
      </w:r>
      <w:r w:rsidR="00243EDC">
        <w:rPr>
          <w:color w:val="000000"/>
          <w:sz w:val="24"/>
          <w:szCs w:val="24"/>
          <w:lang w:eastAsia="bg-BG"/>
        </w:rPr>
        <w:t>„</w:t>
      </w:r>
      <w:r w:rsidRPr="00FF0E6E">
        <w:rPr>
          <w:color w:val="000000"/>
          <w:sz w:val="24"/>
          <w:szCs w:val="24"/>
          <w:lang w:eastAsia="bg-BG"/>
        </w:rPr>
        <w:t>отвеждане на отпадъчни води</w:t>
      </w:r>
      <w:r w:rsidR="00243EDC">
        <w:rPr>
          <w:color w:val="000000"/>
          <w:sz w:val="24"/>
          <w:szCs w:val="24"/>
          <w:lang w:eastAsia="bg-BG"/>
        </w:rPr>
        <w:t>“</w:t>
      </w:r>
      <w:r w:rsidRPr="00FF0E6E">
        <w:rPr>
          <w:color w:val="000000"/>
          <w:sz w:val="24"/>
          <w:szCs w:val="24"/>
          <w:lang w:eastAsia="bg-BG"/>
        </w:rPr>
        <w:t xml:space="preserve"> и </w:t>
      </w:r>
      <w:r w:rsidR="00243EDC">
        <w:rPr>
          <w:color w:val="000000"/>
          <w:sz w:val="24"/>
          <w:szCs w:val="24"/>
          <w:lang w:eastAsia="bg-BG"/>
        </w:rPr>
        <w:t>„</w:t>
      </w:r>
      <w:r w:rsidRPr="00FF0E6E">
        <w:rPr>
          <w:color w:val="000000"/>
          <w:sz w:val="24"/>
          <w:szCs w:val="24"/>
          <w:lang w:eastAsia="bg-BG"/>
        </w:rPr>
        <w:t>пречистване на отпадъчни води</w:t>
      </w:r>
      <w:r w:rsidR="00243EDC">
        <w:rPr>
          <w:color w:val="000000"/>
          <w:sz w:val="24"/>
          <w:szCs w:val="24"/>
          <w:lang w:eastAsia="bg-BG"/>
        </w:rPr>
        <w:t>“</w:t>
      </w:r>
      <w:r w:rsidRPr="00FF0E6E">
        <w:rPr>
          <w:color w:val="000000"/>
          <w:sz w:val="24"/>
          <w:szCs w:val="24"/>
          <w:lang w:eastAsia="bg-BG"/>
        </w:rPr>
        <w:t>, и информация, свързана с фактурирането;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5.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>данни, които са поискани от Комисията, необходими за целите на ценообразуването;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6.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 xml:space="preserve">други данни в подкрепа на </w:t>
      </w:r>
      <w:r w:rsidR="008B6F8C">
        <w:rPr>
          <w:color w:val="000000"/>
          <w:sz w:val="24"/>
          <w:szCs w:val="24"/>
          <w:lang w:eastAsia="bg-BG"/>
        </w:rPr>
        <w:t>подаденото заявление, които Ви</w:t>
      </w:r>
      <w:r w:rsidRPr="00FF0E6E">
        <w:rPr>
          <w:color w:val="000000"/>
          <w:sz w:val="24"/>
          <w:szCs w:val="24"/>
          <w:lang w:eastAsia="bg-BG"/>
        </w:rPr>
        <w:t xml:space="preserve">К операторът прецени, че следва да се вземат предвид от Комисията; 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7.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>доказателства за из</w:t>
      </w:r>
      <w:r w:rsidR="008B6F8C">
        <w:rPr>
          <w:color w:val="000000"/>
          <w:sz w:val="24"/>
          <w:szCs w:val="24"/>
          <w:lang w:eastAsia="bg-BG"/>
        </w:rPr>
        <w:t>пълнение на задължението на Ви</w:t>
      </w:r>
      <w:r w:rsidRPr="00FF0E6E">
        <w:rPr>
          <w:color w:val="000000"/>
          <w:sz w:val="24"/>
          <w:szCs w:val="24"/>
          <w:lang w:eastAsia="bg-BG"/>
        </w:rPr>
        <w:t xml:space="preserve">К оператора по </w:t>
      </w:r>
      <w:hyperlink r:id="rId9" w:history="1">
        <w:r w:rsidRPr="00FF0E6E">
          <w:rPr>
            <w:color w:val="000000"/>
            <w:sz w:val="24"/>
            <w:szCs w:val="24"/>
            <w:lang w:eastAsia="bg-BG"/>
          </w:rPr>
          <w:t>чл. 18</w:t>
        </w:r>
      </w:hyperlink>
      <w:r w:rsidRPr="00FF0E6E">
        <w:rPr>
          <w:color w:val="000000"/>
          <w:sz w:val="24"/>
          <w:szCs w:val="24"/>
          <w:lang w:eastAsia="bg-BG"/>
        </w:rPr>
        <w:t>;</w:t>
      </w:r>
    </w:p>
    <w:p w:rsidR="00F02850" w:rsidRPr="00FF0E6E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8.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 xml:space="preserve">информация за разходите, свързани </w:t>
      </w:r>
      <w:r w:rsidR="008B6F8C">
        <w:rPr>
          <w:color w:val="000000"/>
          <w:sz w:val="24"/>
          <w:szCs w:val="24"/>
          <w:lang w:eastAsia="bg-BG"/>
        </w:rPr>
        <w:t xml:space="preserve">с </w:t>
      </w:r>
      <w:proofErr w:type="spellStart"/>
      <w:r w:rsidR="008B6F8C">
        <w:rPr>
          <w:color w:val="000000"/>
          <w:sz w:val="24"/>
          <w:szCs w:val="24"/>
          <w:lang w:eastAsia="bg-BG"/>
        </w:rPr>
        <w:t>нерегулираната</w:t>
      </w:r>
      <w:proofErr w:type="spellEnd"/>
      <w:r w:rsidR="008B6F8C">
        <w:rPr>
          <w:color w:val="000000"/>
          <w:sz w:val="24"/>
          <w:szCs w:val="24"/>
          <w:lang w:eastAsia="bg-BG"/>
        </w:rPr>
        <w:t xml:space="preserve"> дейност на Ви</w:t>
      </w:r>
      <w:r w:rsidRPr="00FF0E6E">
        <w:rPr>
          <w:color w:val="000000"/>
          <w:sz w:val="24"/>
          <w:szCs w:val="24"/>
          <w:lang w:eastAsia="bg-BG"/>
        </w:rPr>
        <w:t>К оператора – по вид и стойност;</w:t>
      </w:r>
    </w:p>
    <w:p w:rsidR="00F02850" w:rsidRDefault="00F02850" w:rsidP="00F02850">
      <w:pPr>
        <w:jc w:val="both"/>
        <w:rPr>
          <w:color w:val="000000"/>
          <w:sz w:val="24"/>
          <w:szCs w:val="24"/>
          <w:lang w:eastAsia="bg-BG"/>
        </w:rPr>
      </w:pPr>
      <w:r w:rsidRPr="00FF0E6E">
        <w:rPr>
          <w:color w:val="000000"/>
          <w:sz w:val="24"/>
          <w:szCs w:val="24"/>
          <w:lang w:eastAsia="bg-BG"/>
        </w:rPr>
        <w:t xml:space="preserve">9. </w:t>
      </w:r>
      <w:r w:rsidRPr="006D40CC">
        <w:rPr>
          <w:rFonts w:ascii="MS Mincho" w:eastAsia="MS Mincho" w:hAnsi="MS Mincho" w:cs="MS Mincho" w:hint="eastAsia"/>
        </w:rPr>
        <w:t>☐</w:t>
      </w:r>
      <w:r w:rsidRPr="00861D4D">
        <w:rPr>
          <w:rFonts w:ascii="Calibri" w:eastAsia="MS Mincho" w:hAnsi="Calibri" w:cs="MS Mincho"/>
        </w:rPr>
        <w:t xml:space="preserve"> </w:t>
      </w:r>
      <w:r w:rsidRPr="00FF0E6E">
        <w:rPr>
          <w:color w:val="000000"/>
          <w:sz w:val="24"/>
          <w:szCs w:val="24"/>
          <w:lang w:eastAsia="bg-BG"/>
        </w:rPr>
        <w:t xml:space="preserve">анализ на социалната поносимост на предложените </w:t>
      </w:r>
      <w:r w:rsidRPr="00FF0E6E">
        <w:rPr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цени</w:t>
      </w:r>
      <w:r w:rsidR="008B6F8C">
        <w:rPr>
          <w:color w:val="000000"/>
          <w:sz w:val="24"/>
          <w:szCs w:val="24"/>
          <w:lang w:eastAsia="bg-BG"/>
        </w:rPr>
        <w:t xml:space="preserve"> на Ви</w:t>
      </w:r>
      <w:r w:rsidRPr="00FF0E6E">
        <w:rPr>
          <w:color w:val="000000"/>
          <w:sz w:val="24"/>
          <w:szCs w:val="24"/>
          <w:lang w:eastAsia="bg-BG"/>
        </w:rPr>
        <w:t>К услуги.</w:t>
      </w:r>
    </w:p>
    <w:p w:rsidR="006C2A63" w:rsidRDefault="00405EFD" w:rsidP="00405EFD">
      <w:pPr>
        <w:jc w:val="both"/>
        <w:rPr>
          <w:i/>
        </w:rPr>
      </w:pPr>
      <w:proofErr w:type="spellStart"/>
      <w:r>
        <w:rPr>
          <w:lang w:val="ru-RU"/>
        </w:rPr>
        <w:t>Съгласно</w:t>
      </w:r>
      <w:proofErr w:type="spellEnd"/>
      <w:r>
        <w:rPr>
          <w:lang w:val="ru-RU"/>
        </w:rPr>
        <w:t xml:space="preserve"> чл. 20, ал. 2 от </w:t>
      </w:r>
      <w:r w:rsidR="00F02850">
        <w:rPr>
          <w:lang w:val="ru-RU"/>
        </w:rPr>
        <w:t>НРЦВКУ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Ви</w:t>
      </w:r>
      <w:r w:rsidRPr="00405EFD">
        <w:rPr>
          <w:lang w:val="ru-RU"/>
        </w:rPr>
        <w:t>К</w:t>
      </w:r>
      <w:proofErr w:type="spellEnd"/>
      <w:r w:rsidRPr="00405EFD">
        <w:rPr>
          <w:lang w:val="ru-RU"/>
        </w:rPr>
        <w:t xml:space="preserve"> </w:t>
      </w:r>
      <w:proofErr w:type="spellStart"/>
      <w:r w:rsidRPr="00405EFD">
        <w:rPr>
          <w:lang w:val="ru-RU"/>
        </w:rPr>
        <w:t>операторите</w:t>
      </w:r>
      <w:proofErr w:type="spellEnd"/>
      <w:r w:rsidRPr="00405EFD">
        <w:rPr>
          <w:lang w:val="ru-RU"/>
        </w:rPr>
        <w:t xml:space="preserve"> не </w:t>
      </w:r>
      <w:proofErr w:type="spellStart"/>
      <w:r w:rsidRPr="00405EFD">
        <w:rPr>
          <w:lang w:val="ru-RU"/>
        </w:rPr>
        <w:t>са</w:t>
      </w:r>
      <w:proofErr w:type="spellEnd"/>
      <w:r w:rsidRPr="00405EFD">
        <w:rPr>
          <w:lang w:val="ru-RU"/>
        </w:rPr>
        <w:t xml:space="preserve"> </w:t>
      </w:r>
      <w:proofErr w:type="spellStart"/>
      <w:r w:rsidRPr="00405EFD">
        <w:rPr>
          <w:lang w:val="ru-RU"/>
        </w:rPr>
        <w:t>задължени</w:t>
      </w:r>
      <w:proofErr w:type="spellEnd"/>
      <w:r w:rsidRPr="00405EFD">
        <w:rPr>
          <w:lang w:val="ru-RU"/>
        </w:rPr>
        <w:t xml:space="preserve"> да предоставят информация, </w:t>
      </w:r>
      <w:proofErr w:type="spellStart"/>
      <w:r w:rsidRPr="00405EFD">
        <w:rPr>
          <w:lang w:val="ru-RU"/>
        </w:rPr>
        <w:t>документи</w:t>
      </w:r>
      <w:proofErr w:type="spellEnd"/>
      <w:r w:rsidRPr="00405EFD">
        <w:rPr>
          <w:lang w:val="ru-RU"/>
        </w:rPr>
        <w:t xml:space="preserve"> и </w:t>
      </w:r>
      <w:proofErr w:type="spellStart"/>
      <w:r w:rsidRPr="00405EFD">
        <w:rPr>
          <w:lang w:val="ru-RU"/>
        </w:rPr>
        <w:t>данни</w:t>
      </w:r>
      <w:proofErr w:type="spellEnd"/>
      <w:r w:rsidRPr="00405EFD">
        <w:rPr>
          <w:lang w:val="ru-RU"/>
        </w:rPr>
        <w:t xml:space="preserve"> по ал. 1, </w:t>
      </w:r>
      <w:proofErr w:type="spellStart"/>
      <w:r w:rsidRPr="00405EFD">
        <w:rPr>
          <w:lang w:val="ru-RU"/>
        </w:rPr>
        <w:t>които</w:t>
      </w:r>
      <w:proofErr w:type="spellEnd"/>
      <w:r w:rsidRPr="00405EFD">
        <w:rPr>
          <w:lang w:val="ru-RU"/>
        </w:rPr>
        <w:t xml:space="preserve"> </w:t>
      </w:r>
      <w:proofErr w:type="spellStart"/>
      <w:r w:rsidRPr="00405EFD">
        <w:rPr>
          <w:lang w:val="ru-RU"/>
        </w:rPr>
        <w:t>Комисията</w:t>
      </w:r>
      <w:proofErr w:type="spellEnd"/>
      <w:r w:rsidRPr="00405EFD">
        <w:rPr>
          <w:lang w:val="ru-RU"/>
        </w:rPr>
        <w:t xml:space="preserve"> </w:t>
      </w:r>
      <w:proofErr w:type="spellStart"/>
      <w:r w:rsidRPr="00405EFD">
        <w:rPr>
          <w:lang w:val="ru-RU"/>
        </w:rPr>
        <w:t>може</w:t>
      </w:r>
      <w:proofErr w:type="spellEnd"/>
      <w:r w:rsidRPr="00405EFD">
        <w:rPr>
          <w:lang w:val="ru-RU"/>
        </w:rPr>
        <w:t xml:space="preserve"> да получи чрез </w:t>
      </w:r>
      <w:proofErr w:type="spellStart"/>
      <w:r w:rsidRPr="00405EFD">
        <w:rPr>
          <w:lang w:val="ru-RU"/>
        </w:rPr>
        <w:t>безплатен</w:t>
      </w:r>
      <w:proofErr w:type="spellEnd"/>
      <w:r w:rsidRPr="00405EFD">
        <w:rPr>
          <w:lang w:val="ru-RU"/>
        </w:rPr>
        <w:t xml:space="preserve"> </w:t>
      </w:r>
      <w:proofErr w:type="spellStart"/>
      <w:r w:rsidRPr="00405EFD">
        <w:rPr>
          <w:lang w:val="ru-RU"/>
        </w:rPr>
        <w:t>достъп</w:t>
      </w:r>
      <w:proofErr w:type="spellEnd"/>
      <w:r w:rsidRPr="00405EFD">
        <w:rPr>
          <w:lang w:val="ru-RU"/>
        </w:rPr>
        <w:t xml:space="preserve"> до публичен </w:t>
      </w:r>
      <w:proofErr w:type="spellStart"/>
      <w:r w:rsidRPr="00405EFD">
        <w:rPr>
          <w:lang w:val="ru-RU"/>
        </w:rPr>
        <w:t>регистър</w:t>
      </w:r>
      <w:proofErr w:type="spellEnd"/>
      <w:r w:rsidRPr="00405EFD">
        <w:rPr>
          <w:lang w:val="ru-RU"/>
        </w:rPr>
        <w:t xml:space="preserve"> или </w:t>
      </w:r>
      <w:proofErr w:type="spellStart"/>
      <w:r w:rsidRPr="00405EFD">
        <w:rPr>
          <w:lang w:val="ru-RU"/>
        </w:rPr>
        <w:t>които</w:t>
      </w:r>
      <w:proofErr w:type="spellEnd"/>
      <w:r w:rsidRPr="00405EFD">
        <w:rPr>
          <w:lang w:val="ru-RU"/>
        </w:rPr>
        <w:t xml:space="preserve"> вече </w:t>
      </w:r>
      <w:proofErr w:type="spellStart"/>
      <w:r w:rsidRPr="00405EFD">
        <w:rPr>
          <w:lang w:val="ru-RU"/>
        </w:rPr>
        <w:t>са</w:t>
      </w:r>
      <w:proofErr w:type="spellEnd"/>
      <w:r w:rsidRPr="00405EFD">
        <w:rPr>
          <w:lang w:val="ru-RU"/>
        </w:rPr>
        <w:t xml:space="preserve"> били </w:t>
      </w:r>
      <w:proofErr w:type="spellStart"/>
      <w:r w:rsidRPr="00405EFD">
        <w:rPr>
          <w:lang w:val="ru-RU"/>
        </w:rPr>
        <w:t>предоставени</w:t>
      </w:r>
      <w:proofErr w:type="spellEnd"/>
      <w:r w:rsidRPr="00405EFD">
        <w:rPr>
          <w:lang w:val="ru-RU"/>
        </w:rPr>
        <w:t xml:space="preserve"> на </w:t>
      </w:r>
      <w:proofErr w:type="spellStart"/>
      <w:r w:rsidRPr="00405EFD">
        <w:rPr>
          <w:lang w:val="ru-RU"/>
        </w:rPr>
        <w:t>Комисията</w:t>
      </w:r>
      <w:proofErr w:type="spellEnd"/>
      <w:r w:rsidRPr="00405EFD">
        <w:rPr>
          <w:lang w:val="ru-RU"/>
        </w:rPr>
        <w:t xml:space="preserve"> по </w:t>
      </w:r>
      <w:proofErr w:type="spellStart"/>
      <w:r w:rsidRPr="00405EFD">
        <w:rPr>
          <w:lang w:val="ru-RU"/>
        </w:rPr>
        <w:t>законоустановения</w:t>
      </w:r>
      <w:proofErr w:type="spellEnd"/>
      <w:r w:rsidRPr="00405EFD">
        <w:rPr>
          <w:lang w:val="ru-RU"/>
        </w:rPr>
        <w:t xml:space="preserve"> ред. </w:t>
      </w:r>
      <w:proofErr w:type="spellStart"/>
      <w:r w:rsidRPr="00405EFD">
        <w:rPr>
          <w:lang w:val="ru-RU"/>
        </w:rPr>
        <w:t>Наличието</w:t>
      </w:r>
      <w:proofErr w:type="spellEnd"/>
      <w:r w:rsidRPr="00405EFD">
        <w:rPr>
          <w:lang w:val="ru-RU"/>
        </w:rPr>
        <w:t xml:space="preserve"> на </w:t>
      </w:r>
      <w:proofErr w:type="spellStart"/>
      <w:r w:rsidRPr="00405EFD">
        <w:rPr>
          <w:lang w:val="ru-RU"/>
        </w:rPr>
        <w:t>тези</w:t>
      </w:r>
      <w:proofErr w:type="spellEnd"/>
      <w:r w:rsidRPr="00405EFD">
        <w:rPr>
          <w:lang w:val="ru-RU"/>
        </w:rPr>
        <w:t xml:space="preserve"> </w:t>
      </w:r>
      <w:proofErr w:type="spellStart"/>
      <w:r w:rsidRPr="00405EFD">
        <w:rPr>
          <w:lang w:val="ru-RU"/>
        </w:rPr>
        <w:t>обстоятелства</w:t>
      </w:r>
      <w:proofErr w:type="spellEnd"/>
      <w:r w:rsidRPr="00405EFD">
        <w:rPr>
          <w:lang w:val="ru-RU"/>
        </w:rPr>
        <w:t xml:space="preserve"> се </w:t>
      </w:r>
      <w:proofErr w:type="spellStart"/>
      <w:r w:rsidRPr="00405EFD">
        <w:rPr>
          <w:lang w:val="ru-RU"/>
        </w:rPr>
        <w:t>посочва</w:t>
      </w:r>
      <w:proofErr w:type="spellEnd"/>
      <w:r w:rsidRPr="00405EFD">
        <w:rPr>
          <w:lang w:val="ru-RU"/>
        </w:rPr>
        <w:t xml:space="preserve"> </w:t>
      </w:r>
      <w:proofErr w:type="spellStart"/>
      <w:r w:rsidRPr="00405EFD">
        <w:rPr>
          <w:lang w:val="ru-RU"/>
        </w:rPr>
        <w:t>изрично</w:t>
      </w:r>
      <w:proofErr w:type="spellEnd"/>
      <w:r w:rsidRPr="00405EFD">
        <w:rPr>
          <w:lang w:val="ru-RU"/>
        </w:rPr>
        <w:t xml:space="preserve"> в </w:t>
      </w:r>
      <w:proofErr w:type="spellStart"/>
      <w:r w:rsidRPr="00405EFD">
        <w:rPr>
          <w:lang w:val="ru-RU"/>
        </w:rPr>
        <w:t>заявлението</w:t>
      </w:r>
      <w:proofErr w:type="spellEnd"/>
      <w:r w:rsidRPr="00405EFD">
        <w:rPr>
          <w:lang w:val="ru-RU"/>
        </w:rPr>
        <w:t xml:space="preserve"> по чл. 19</w:t>
      </w:r>
      <w:r w:rsidR="00AE1139">
        <w:rPr>
          <w:lang w:val="ru-RU"/>
        </w:rPr>
        <w:t xml:space="preserve">, </w:t>
      </w:r>
      <w:proofErr w:type="spellStart"/>
      <w:r w:rsidR="00AE1139">
        <w:rPr>
          <w:lang w:val="ru-RU"/>
        </w:rPr>
        <w:t>както</w:t>
      </w:r>
      <w:proofErr w:type="spellEnd"/>
      <w:r w:rsidR="00AE1139">
        <w:rPr>
          <w:lang w:val="ru-RU"/>
        </w:rPr>
        <w:t xml:space="preserve"> и в случай, че </w:t>
      </w:r>
      <w:proofErr w:type="spellStart"/>
      <w:r w:rsidR="00AE1139">
        <w:rPr>
          <w:lang w:val="ru-RU"/>
        </w:rPr>
        <w:t>информацията</w:t>
      </w:r>
      <w:proofErr w:type="spellEnd"/>
      <w:r w:rsidR="00AE1139">
        <w:rPr>
          <w:lang w:val="ru-RU"/>
        </w:rPr>
        <w:t xml:space="preserve"> е </w:t>
      </w:r>
      <w:proofErr w:type="spellStart"/>
      <w:r w:rsidR="00AE1139">
        <w:rPr>
          <w:lang w:val="ru-RU"/>
        </w:rPr>
        <w:t>представена</w:t>
      </w:r>
      <w:proofErr w:type="spellEnd"/>
      <w:r w:rsidR="00AE1139">
        <w:rPr>
          <w:lang w:val="ru-RU"/>
        </w:rPr>
        <w:t xml:space="preserve"> </w:t>
      </w:r>
      <w:proofErr w:type="spellStart"/>
      <w:r w:rsidR="00AE1139">
        <w:rPr>
          <w:lang w:val="ru-RU"/>
        </w:rPr>
        <w:t>във</w:t>
      </w:r>
      <w:proofErr w:type="spellEnd"/>
      <w:r w:rsidR="00AE1139">
        <w:rPr>
          <w:lang w:val="ru-RU"/>
        </w:rPr>
        <w:t xml:space="preserve"> внесения бизнес план</w:t>
      </w:r>
      <w:r w:rsidRPr="00405EFD">
        <w:rPr>
          <w:lang w:val="ru-RU"/>
        </w:rPr>
        <w:t>.</w:t>
      </w:r>
      <w:r w:rsidR="00F02850">
        <w:rPr>
          <w:i/>
        </w:rPr>
        <w:t xml:space="preserve"> </w:t>
      </w:r>
      <w:r w:rsidR="00F02850" w:rsidRPr="00EE107E">
        <w:rPr>
          <w:i/>
        </w:rPr>
        <w:t xml:space="preserve">(чрез </w:t>
      </w:r>
      <w:r w:rsidR="00190EDE">
        <w:rPr>
          <w:i/>
        </w:rPr>
        <w:t>обозначаване</w:t>
      </w:r>
      <w:r w:rsidR="00190EDE" w:rsidRPr="00EE107E">
        <w:rPr>
          <w:i/>
        </w:rPr>
        <w:t xml:space="preserve"> </w:t>
      </w:r>
      <w:r w:rsidR="00F02850" w:rsidRPr="00EE107E">
        <w:rPr>
          <w:i/>
        </w:rPr>
        <w:t>в квадратчетата</w:t>
      </w:r>
      <w:r w:rsidR="00F02850" w:rsidRPr="00EE107E">
        <w:rPr>
          <w:rFonts w:ascii="MS Mincho" w:eastAsia="MS Mincho" w:hAnsi="MS Mincho" w:cs="MS Mincho" w:hint="eastAsia"/>
        </w:rPr>
        <w:t>☒</w:t>
      </w:r>
      <w:r w:rsidR="00190EDE" w:rsidRPr="00B61C4F">
        <w:rPr>
          <w:rFonts w:ascii="Calibri" w:eastAsia="MS Mincho" w:hAnsi="Calibri" w:cs="MS Mincho"/>
        </w:rPr>
        <w:t xml:space="preserve"> </w:t>
      </w:r>
      <w:r w:rsidR="00190EDE">
        <w:rPr>
          <w:i/>
        </w:rPr>
        <w:t>за всички налични обстояте</w:t>
      </w:r>
      <w:r w:rsidR="00F26E99">
        <w:rPr>
          <w:i/>
        </w:rPr>
        <w:t>л</w:t>
      </w:r>
      <w:r w:rsidR="00190EDE">
        <w:rPr>
          <w:i/>
        </w:rPr>
        <w:t>ства</w:t>
      </w:r>
      <w:r w:rsidR="00F02850" w:rsidRPr="00EE107E">
        <w:rPr>
          <w:i/>
        </w:rPr>
        <w:t>)</w:t>
      </w:r>
      <w:r w:rsidR="00F02850">
        <w:rPr>
          <w:i/>
        </w:rPr>
        <w:t>.</w:t>
      </w:r>
    </w:p>
    <w:p w:rsidR="00273709" w:rsidRPr="00273709" w:rsidRDefault="00273709" w:rsidP="00405EFD">
      <w:pPr>
        <w:jc w:val="both"/>
        <w:rPr>
          <w:lang w:val="en-US"/>
        </w:rPr>
      </w:pPr>
      <w:r>
        <w:t>Документите по чл.20, ал. 1 от НРЦВКУ – т.1, т.2, т.3, т.4, т.9 – са подадени и налични в КЕВР в изискуемите срокове.</w:t>
      </w:r>
    </w:p>
    <w:p w:rsidR="0061039F" w:rsidRDefault="0061039F" w:rsidP="00405EFD">
      <w:pPr>
        <w:jc w:val="both"/>
        <w:rPr>
          <w:sz w:val="24"/>
          <w:szCs w:val="24"/>
        </w:rPr>
      </w:pPr>
    </w:p>
    <w:p w:rsidR="008B6F8C" w:rsidRDefault="008B6F8C" w:rsidP="00405EFD">
      <w:pPr>
        <w:jc w:val="both"/>
        <w:rPr>
          <w:sz w:val="24"/>
          <w:szCs w:val="24"/>
        </w:rPr>
      </w:pPr>
    </w:p>
    <w:p w:rsidR="008B6F8C" w:rsidRDefault="008B6F8C" w:rsidP="008B6F8C">
      <w:pPr>
        <w:jc w:val="both"/>
        <w:rPr>
          <w:b/>
          <w:sz w:val="24"/>
          <w:szCs w:val="24"/>
        </w:rPr>
      </w:pPr>
      <w:r w:rsidRPr="008B6F8C">
        <w:rPr>
          <w:b/>
          <w:sz w:val="24"/>
          <w:szCs w:val="24"/>
        </w:rPr>
        <w:t xml:space="preserve">4. </w:t>
      </w:r>
      <w:r>
        <w:rPr>
          <w:b/>
          <w:sz w:val="24"/>
          <w:szCs w:val="24"/>
        </w:rPr>
        <w:t xml:space="preserve">Декларирам, че изискуемите прогнози и обосновки по смисъла на чл. 21, ал. 1 от НРЦВКУ, изискуемите </w:t>
      </w:r>
      <w:r w:rsidRPr="008B6F8C">
        <w:rPr>
          <w:b/>
          <w:sz w:val="24"/>
          <w:szCs w:val="24"/>
        </w:rPr>
        <w:t>технически, икономически и финансови данни</w:t>
      </w:r>
      <w:r>
        <w:rPr>
          <w:b/>
          <w:sz w:val="24"/>
          <w:szCs w:val="24"/>
        </w:rPr>
        <w:t xml:space="preserve"> по смисъла на чл. 21, ал. 2 от НРЦВКУ са представени във внесения бизнес план, доколкото з</w:t>
      </w:r>
      <w:r w:rsidRPr="008B6F8C">
        <w:rPr>
          <w:b/>
          <w:sz w:val="24"/>
          <w:szCs w:val="24"/>
        </w:rPr>
        <w:t xml:space="preserve">аявлението по </w:t>
      </w:r>
      <w:r>
        <w:rPr>
          <w:b/>
          <w:sz w:val="24"/>
          <w:szCs w:val="24"/>
        </w:rPr>
        <w:t>чл. 19 от НРЦВКУ</w:t>
      </w:r>
      <w:r w:rsidRPr="008B6F8C">
        <w:rPr>
          <w:b/>
          <w:sz w:val="24"/>
          <w:szCs w:val="24"/>
        </w:rPr>
        <w:t xml:space="preserve"> е неразделна част от бизнес</w:t>
      </w:r>
      <w:r>
        <w:rPr>
          <w:b/>
          <w:sz w:val="24"/>
          <w:szCs w:val="24"/>
        </w:rPr>
        <w:t xml:space="preserve"> плана на Ви</w:t>
      </w:r>
      <w:r w:rsidRPr="008B6F8C">
        <w:rPr>
          <w:b/>
          <w:sz w:val="24"/>
          <w:szCs w:val="24"/>
        </w:rPr>
        <w:t>К опе</w:t>
      </w:r>
      <w:r>
        <w:rPr>
          <w:b/>
          <w:sz w:val="24"/>
          <w:szCs w:val="24"/>
        </w:rPr>
        <w:t>ратора.</w:t>
      </w:r>
    </w:p>
    <w:p w:rsidR="008B6F8C" w:rsidRDefault="008B6F8C" w:rsidP="008B6F8C">
      <w:pPr>
        <w:jc w:val="both"/>
        <w:rPr>
          <w:lang w:val="ru-RU"/>
        </w:rPr>
      </w:pPr>
    </w:p>
    <w:p w:rsidR="008B6F8C" w:rsidRPr="008B6F8C" w:rsidRDefault="008B6F8C" w:rsidP="00405EFD">
      <w:pPr>
        <w:jc w:val="both"/>
        <w:rPr>
          <w:sz w:val="24"/>
          <w:szCs w:val="24"/>
        </w:rPr>
      </w:pPr>
    </w:p>
    <w:p w:rsidR="00F02850" w:rsidRPr="006D40CC" w:rsidRDefault="00F02850" w:rsidP="00F02850">
      <w:pPr>
        <w:pStyle w:val="aa"/>
        <w:jc w:val="both"/>
      </w:pPr>
      <w:r w:rsidRPr="006D40CC">
        <w:rPr>
          <w:b/>
        </w:rPr>
        <w:tab/>
      </w:r>
      <w:r w:rsidRPr="00073634">
        <w:rPr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F02850" w:rsidRDefault="00F02850" w:rsidP="00F02850">
      <w:pPr>
        <w:pStyle w:val="aa"/>
        <w:jc w:val="both"/>
      </w:pPr>
    </w:p>
    <w:p w:rsidR="00F02850" w:rsidRDefault="00F02850" w:rsidP="00F02850">
      <w:pPr>
        <w:pStyle w:val="aa"/>
        <w:jc w:val="both"/>
      </w:pPr>
    </w:p>
    <w:p w:rsidR="008B6F8C" w:rsidRDefault="008B6F8C" w:rsidP="00F02850">
      <w:pPr>
        <w:pStyle w:val="aa"/>
        <w:jc w:val="both"/>
      </w:pPr>
    </w:p>
    <w:p w:rsidR="008E314B" w:rsidRPr="00F02850" w:rsidRDefault="00F02850" w:rsidP="00F02850">
      <w:pPr>
        <w:pStyle w:val="aa"/>
        <w:jc w:val="both"/>
        <w:rPr>
          <w:i/>
          <w:sz w:val="20"/>
          <w:szCs w:val="20"/>
        </w:rPr>
      </w:pPr>
      <w:r w:rsidRPr="00A30B13">
        <w:rPr>
          <w:b/>
        </w:rPr>
        <w:t>Дата</w:t>
      </w:r>
      <w:r>
        <w:rPr>
          <w:b/>
        </w:rPr>
        <w:t>:</w:t>
      </w:r>
      <w:r w:rsidR="001747E2">
        <w:rPr>
          <w:b/>
        </w:rPr>
        <w:t>30.06.2021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  <w:bookmarkStart w:id="0" w:name="_GoBack"/>
      <w:bookmarkEnd w:id="0"/>
    </w:p>
    <w:sectPr w:rsidR="008E314B" w:rsidRPr="00F02850" w:rsidSect="00F02850">
      <w:footerReference w:type="default" r:id="rId10"/>
      <w:pgSz w:w="11906" w:h="16838"/>
      <w:pgMar w:top="1134" w:right="1417" w:bottom="1135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B3B" w:rsidRDefault="00532B3B">
      <w:r>
        <w:separator/>
      </w:r>
    </w:p>
  </w:endnote>
  <w:endnote w:type="continuationSeparator" w:id="0">
    <w:p w:rsidR="00532B3B" w:rsidRDefault="00532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97" w:rsidRDefault="0090129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0FB8">
      <w:rPr>
        <w:noProof/>
      </w:rPr>
      <w:t>1</w:t>
    </w:r>
    <w:r>
      <w:fldChar w:fldCharType="end"/>
    </w:r>
  </w:p>
  <w:p w:rsidR="001421B7" w:rsidRPr="00C645F0" w:rsidRDefault="001421B7" w:rsidP="00C645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B3B" w:rsidRDefault="00532B3B">
      <w:r>
        <w:separator/>
      </w:r>
    </w:p>
  </w:footnote>
  <w:footnote w:type="continuationSeparator" w:id="0">
    <w:p w:rsidR="00532B3B" w:rsidRDefault="00532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B416C"/>
    <w:multiLevelType w:val="multilevel"/>
    <w:tmpl w:val="2BD60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6A6548"/>
    <w:multiLevelType w:val="hybridMultilevel"/>
    <w:tmpl w:val="441679C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9AC3A86"/>
    <w:multiLevelType w:val="hybridMultilevel"/>
    <w:tmpl w:val="F27E60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A6"/>
    <w:rsid w:val="000C499B"/>
    <w:rsid w:val="000D57C2"/>
    <w:rsid w:val="000E4B30"/>
    <w:rsid w:val="000E6478"/>
    <w:rsid w:val="00113968"/>
    <w:rsid w:val="00117135"/>
    <w:rsid w:val="00117A37"/>
    <w:rsid w:val="00133DB9"/>
    <w:rsid w:val="001421B7"/>
    <w:rsid w:val="00142285"/>
    <w:rsid w:val="00156063"/>
    <w:rsid w:val="001747E2"/>
    <w:rsid w:val="00190EDE"/>
    <w:rsid w:val="001D01A6"/>
    <w:rsid w:val="001F106E"/>
    <w:rsid w:val="00223115"/>
    <w:rsid w:val="00243EDC"/>
    <w:rsid w:val="0024713F"/>
    <w:rsid w:val="002658EF"/>
    <w:rsid w:val="00273709"/>
    <w:rsid w:val="0029397E"/>
    <w:rsid w:val="002B5B81"/>
    <w:rsid w:val="002C321A"/>
    <w:rsid w:val="002E4C44"/>
    <w:rsid w:val="003B0F7D"/>
    <w:rsid w:val="00405EFD"/>
    <w:rsid w:val="00417C75"/>
    <w:rsid w:val="005034F3"/>
    <w:rsid w:val="00532B3B"/>
    <w:rsid w:val="0055258D"/>
    <w:rsid w:val="005C7F10"/>
    <w:rsid w:val="005C7F9B"/>
    <w:rsid w:val="005F4BE0"/>
    <w:rsid w:val="00604A3E"/>
    <w:rsid w:val="0061039F"/>
    <w:rsid w:val="0066576C"/>
    <w:rsid w:val="00695360"/>
    <w:rsid w:val="006C2A63"/>
    <w:rsid w:val="006D49D5"/>
    <w:rsid w:val="006F182F"/>
    <w:rsid w:val="00724BA7"/>
    <w:rsid w:val="007359C4"/>
    <w:rsid w:val="00751530"/>
    <w:rsid w:val="00761593"/>
    <w:rsid w:val="00812E5B"/>
    <w:rsid w:val="00852DF3"/>
    <w:rsid w:val="00861D4D"/>
    <w:rsid w:val="00863934"/>
    <w:rsid w:val="0086595D"/>
    <w:rsid w:val="00866C63"/>
    <w:rsid w:val="008B6F8C"/>
    <w:rsid w:val="008E314B"/>
    <w:rsid w:val="008F403D"/>
    <w:rsid w:val="00901297"/>
    <w:rsid w:val="00901A2B"/>
    <w:rsid w:val="009637EA"/>
    <w:rsid w:val="00963B7B"/>
    <w:rsid w:val="00996ED5"/>
    <w:rsid w:val="009B6A5B"/>
    <w:rsid w:val="009C32BC"/>
    <w:rsid w:val="009C6198"/>
    <w:rsid w:val="009F5181"/>
    <w:rsid w:val="00A57204"/>
    <w:rsid w:val="00A608A2"/>
    <w:rsid w:val="00AE1139"/>
    <w:rsid w:val="00AE3200"/>
    <w:rsid w:val="00B07CA0"/>
    <w:rsid w:val="00B50B5B"/>
    <w:rsid w:val="00B61C4F"/>
    <w:rsid w:val="00B80DD7"/>
    <w:rsid w:val="00BC7317"/>
    <w:rsid w:val="00BD2115"/>
    <w:rsid w:val="00BE059C"/>
    <w:rsid w:val="00BF1562"/>
    <w:rsid w:val="00C645F0"/>
    <w:rsid w:val="00C74FCE"/>
    <w:rsid w:val="00CB19DA"/>
    <w:rsid w:val="00D20163"/>
    <w:rsid w:val="00D4283B"/>
    <w:rsid w:val="00D76B0D"/>
    <w:rsid w:val="00DC7053"/>
    <w:rsid w:val="00DD0D3C"/>
    <w:rsid w:val="00DF0BDB"/>
    <w:rsid w:val="00DF4D7C"/>
    <w:rsid w:val="00E34B0D"/>
    <w:rsid w:val="00E96BD0"/>
    <w:rsid w:val="00EB6205"/>
    <w:rsid w:val="00EF470C"/>
    <w:rsid w:val="00F02850"/>
    <w:rsid w:val="00F26E99"/>
    <w:rsid w:val="00F850D1"/>
    <w:rsid w:val="00FF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A6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D01A6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bg-BG" w:eastAsia="x-none"/>
    </w:rPr>
  </w:style>
  <w:style w:type="paragraph" w:styleId="a3">
    <w:name w:val="footer"/>
    <w:basedOn w:val="a"/>
    <w:link w:val="a4"/>
    <w:uiPriority w:val="99"/>
    <w:rsid w:val="001D01A6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link w:val="a3"/>
    <w:uiPriority w:val="99"/>
    <w:locked/>
    <w:rPr>
      <w:rFonts w:cs="Times New Roman"/>
      <w:sz w:val="20"/>
      <w:szCs w:val="20"/>
      <w:lang w:val="bg-BG" w:eastAsia="x-none"/>
    </w:rPr>
  </w:style>
  <w:style w:type="character" w:styleId="a5">
    <w:name w:val="page number"/>
    <w:uiPriority w:val="99"/>
    <w:rsid w:val="001D01A6"/>
    <w:rPr>
      <w:rFonts w:cs="Times New Roman"/>
    </w:rPr>
  </w:style>
  <w:style w:type="paragraph" w:customStyle="1" w:styleId="Style">
    <w:name w:val="Style"/>
    <w:uiPriority w:val="99"/>
    <w:rsid w:val="001D01A6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C645F0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link w:val="a6"/>
    <w:uiPriority w:val="99"/>
    <w:locked/>
    <w:rsid w:val="00C645F0"/>
    <w:rPr>
      <w:rFonts w:cs="Times New Roman"/>
      <w:sz w:val="20"/>
      <w:szCs w:val="20"/>
      <w:lang w:val="bg-BG" w:eastAsia="x-none"/>
    </w:rPr>
  </w:style>
  <w:style w:type="paragraph" w:styleId="a8">
    <w:name w:val="Balloon Text"/>
    <w:basedOn w:val="a"/>
    <w:link w:val="a9"/>
    <w:uiPriority w:val="99"/>
    <w:semiHidden/>
    <w:unhideWhenUsed/>
    <w:rsid w:val="00DC705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DC7053"/>
    <w:rPr>
      <w:rFonts w:ascii="Tahoma" w:hAnsi="Tahoma" w:cs="Tahoma"/>
      <w:sz w:val="16"/>
      <w:szCs w:val="16"/>
      <w:lang w:val="x-none" w:eastAsia="en-US"/>
    </w:rPr>
  </w:style>
  <w:style w:type="paragraph" w:styleId="aa">
    <w:name w:val="No Spacing"/>
    <w:uiPriority w:val="1"/>
    <w:qFormat/>
    <w:rsid w:val="00F02850"/>
    <w:rPr>
      <w:sz w:val="24"/>
      <w:szCs w:val="24"/>
    </w:rPr>
  </w:style>
  <w:style w:type="character" w:styleId="ab">
    <w:name w:val="annotation reference"/>
    <w:uiPriority w:val="99"/>
    <w:semiHidden/>
    <w:unhideWhenUsed/>
    <w:rsid w:val="006C2A6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C2A63"/>
  </w:style>
  <w:style w:type="character" w:customStyle="1" w:styleId="ad">
    <w:name w:val="Текст на коментар Знак"/>
    <w:link w:val="ac"/>
    <w:uiPriority w:val="99"/>
    <w:semiHidden/>
    <w:rsid w:val="006C2A6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52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56&amp;Type=20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83945&amp;ToPar=Art18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41805-4A6C-4CF6-A573-B14580E2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5064</CharactersWithSpaces>
  <SharedDoc>false</SharedDoc>
  <HLinks>
    <vt:vector size="12" baseType="variant">
      <vt:variant>
        <vt:i4>5046302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apis://Base=NARH&amp;DocCode=83945&amp;ToPar=Art18&amp;Type=201/</vt:lpwstr>
      </vt:variant>
      <vt:variant>
        <vt:lpwstr/>
      </vt:variant>
      <vt:variant>
        <vt:i4>1507403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apis://Base=NARH&amp;DocCode=41756&amp;Type=201/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2021-06-24T08:53:00Z</dcterms:created>
  <dcterms:modified xsi:type="dcterms:W3CDTF">2021-09-24T12:11:00Z</dcterms:modified>
</cp:coreProperties>
</file>